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901" w:rsidP="00DA0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RGRSWA301 Collect non-blood samples from greyhounds or horses</w:t>
      </w:r>
      <w:r>
        <w:fldChar w:fldCharType="end"/>
      </w:r>
    </w:p>
    <w:p w:rsidR="00DA0901" w:rsidP="00DA0901">
      <w:pPr>
        <w:pStyle w:val="Version"/>
        <w:sectPr w:rsidSect="006D0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C56" w:rsidP="006D0C56">
      <w:pPr>
        <w:pStyle w:val="SuperHeading"/>
      </w:pPr>
      <w:r w:rsidRPr="006D0C56">
        <w:t>RGRSWA301 Collect non-blood samples from greyhounds or horses</w:t>
      </w:r>
    </w:p>
    <w:p w:rsidR="00000000" w:rsidRPr="006D0C56" w:rsidP="006D0C56">
      <w:pPr>
        <w:pStyle w:val="Heading1"/>
      </w:pPr>
      <w:bookmarkStart w:id="1" w:name="O_978337"/>
      <w:bookmarkEnd w:id="1"/>
      <w:r w:rsidRPr="006D0C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rPr>
                <w:rStyle w:val="SpecialBold"/>
              </w:rPr>
              <w:t>Comments</w:t>
            </w:r>
          </w:p>
        </w:tc>
      </w:tr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t>This version released with RGR Racing and Breeding Training Package Version 2.0.</w:t>
            </w:r>
          </w:p>
        </w:tc>
      </w:tr>
    </w:tbl>
    <w:p w:rsidR="00000000" w:rsidRPr="006D0C56" w:rsidP="006D0C56">
      <w:pPr>
        <w:pStyle w:val="BodyText"/>
      </w:pPr>
    </w:p>
    <w:p w:rsidR="00000000" w:rsidRPr="006D0C56" w:rsidP="006D0C56">
      <w:pPr>
        <w:pStyle w:val="AllowPageBreak"/>
      </w:pPr>
    </w:p>
    <w:p w:rsidR="00000000" w:rsidRPr="006D0C56" w:rsidP="006D0C56">
      <w:pPr>
        <w:pStyle w:val="Heading1"/>
      </w:pPr>
      <w:bookmarkStart w:id="2" w:name="O_978338"/>
      <w:bookmarkEnd w:id="2"/>
      <w:r w:rsidRPr="006D0C56">
        <w:t>Application</w:t>
      </w:r>
    </w:p>
    <w:p w:rsidR="00000000" w:rsidRPr="006D0C56" w:rsidP="00DA0901">
      <w:pPr>
        <w:pStyle w:val="BodyText"/>
      </w:pPr>
      <w:r w:rsidRPr="006D0C56">
        <w:t xml:space="preserve">This unit of competency describes the skills and knowledge required to prepare for and collect non-blood samples from racing animals and complete reporting requirements. </w:t>
      </w:r>
    </w:p>
    <w:p w:rsidR="00000000" w:rsidRPr="006D0C56" w:rsidP="00DA0901">
      <w:pPr>
        <w:pStyle w:val="BodyText"/>
      </w:pPr>
      <w:r w:rsidRPr="006D0C56">
        <w:t>The unit applies to individuals who work under supervision, using specialised knowled</w:t>
      </w:r>
      <w:r w:rsidRPr="006D0C56">
        <w:t>ge and practical skills to carry out routine non-blood sampling activities within greyhound, harness or thoroughbred racing code workplaces.</w:t>
      </w:r>
    </w:p>
    <w:p w:rsidR="00000000" w:rsidRPr="006D0C56" w:rsidP="00DA0901">
      <w:pPr>
        <w:pStyle w:val="BodyText"/>
      </w:pPr>
      <w:r w:rsidRPr="006D0C56">
        <w:t>No licensing, legislative, regulatory or certification requirements apply to this unit at the time of publication.</w:t>
      </w:r>
    </w:p>
    <w:p w:rsidR="00000000" w:rsidRPr="006D0C56" w:rsidP="006D0C56">
      <w:pPr>
        <w:pStyle w:val="Heading1"/>
      </w:pPr>
      <w:bookmarkStart w:id="3" w:name="O_978339"/>
      <w:bookmarkEnd w:id="3"/>
      <w:r w:rsidRPr="006D0C56">
        <w:t>Pre-requisite Unit</w:t>
      </w:r>
    </w:p>
    <w:p w:rsidR="00000000" w:rsidRPr="006D0C56" w:rsidP="00DA0901">
      <w:pPr>
        <w:pStyle w:val="BodyText"/>
      </w:pPr>
      <w:r w:rsidRPr="006D0C56">
        <w:t>Nil</w:t>
      </w:r>
    </w:p>
    <w:p w:rsidR="00000000" w:rsidRPr="006D0C56" w:rsidP="006D0C56">
      <w:pPr>
        <w:pStyle w:val="Heading1"/>
      </w:pPr>
      <w:bookmarkStart w:id="4" w:name="O_978341"/>
      <w:bookmarkEnd w:id="4"/>
      <w:r w:rsidRPr="006D0C56">
        <w:t>Unit Sector</w:t>
      </w:r>
    </w:p>
    <w:p w:rsidR="00000000" w:rsidRPr="006D0C56" w:rsidP="00DA0901">
      <w:pPr>
        <w:pStyle w:val="BodyText"/>
      </w:pPr>
      <w:r w:rsidRPr="006D0C56">
        <w:t>Swabbing (SWA)</w:t>
      </w:r>
    </w:p>
    <w:p w:rsidR="00000000" w:rsidRPr="006D0C56" w:rsidP="006D0C56">
      <w:pPr>
        <w:pStyle w:val="Heading1"/>
      </w:pPr>
      <w:bookmarkStart w:id="5" w:name="O_978342"/>
      <w:bookmarkEnd w:id="5"/>
      <w:r w:rsidRPr="006D0C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0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rPr>
                <w:rStyle w:val="SpecialBold"/>
              </w:rPr>
              <w:t>Performance Criteria</w:t>
            </w:r>
          </w:p>
        </w:tc>
      </w:tr>
      <w:tr w:rsidTr="00DA0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0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1. Prepare for sample collection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t>1.1 Confirm process for selecting greyhounds or horses to be sampled with stewards or supervising veterinarian</w:t>
            </w:r>
          </w:p>
          <w:p w:rsidR="00000000" w:rsidRPr="006D0C56" w:rsidP="006D0C56">
            <w:pPr>
              <w:pStyle w:val="BodyText"/>
            </w:pPr>
            <w:r w:rsidRPr="006D0C56">
              <w:t>1.2 Confirm pre</w:t>
            </w:r>
            <w:r w:rsidRPr="006D0C56">
              <w:t>paration of collecting area and provision of collecting equipment and collection bags, including personal protective equipment</w:t>
            </w:r>
          </w:p>
          <w:p w:rsidR="00000000" w:rsidRPr="006D0C56" w:rsidP="006D0C56">
            <w:pPr>
              <w:pStyle w:val="BodyText"/>
            </w:pPr>
            <w:r w:rsidRPr="006D0C56">
              <w:t>1.3 Secure collecting area and equipment</w:t>
            </w:r>
          </w:p>
          <w:p w:rsidR="00000000" w:rsidRPr="006D0C56" w:rsidP="006D0C56">
            <w:pPr>
              <w:pStyle w:val="BodyText"/>
            </w:pPr>
            <w:r w:rsidRPr="006D0C56">
              <w:t>1.4 Identify hazards and minimise risks associated with sample collection</w:t>
            </w:r>
          </w:p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1.5 Identify a</w:t>
            </w:r>
            <w:r w:rsidRPr="006D0C56">
              <w:t>nd escort greyhounds or horses required for non-blood sample collection to collecting area following safe animal handling practices</w:t>
            </w:r>
          </w:p>
        </w:tc>
      </w:tr>
      <w:tr w:rsidTr="00DA0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2. Collect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t>2.1 Explain collection procedures and rights and obligations to nominated witness</w:t>
            </w:r>
          </w:p>
          <w:p w:rsidR="00000000" w:rsidRPr="006D0C56" w:rsidP="006D0C56">
            <w:pPr>
              <w:pStyle w:val="BodyText"/>
            </w:pPr>
            <w:r w:rsidRPr="006D0C56">
              <w:t>2.2 Follow safe urine collection procedures and protocols</w:t>
            </w:r>
          </w:p>
          <w:p w:rsidR="00000000" w:rsidRPr="006D0C56" w:rsidP="006D0C56">
            <w:pPr>
              <w:pStyle w:val="BodyText"/>
            </w:pPr>
            <w:r w:rsidRPr="006D0C56">
              <w:t>2.3 Take other non-blood samples according to collection protocols and safety procedures</w:t>
            </w:r>
          </w:p>
          <w:p w:rsidR="00000000" w:rsidRPr="006D0C56" w:rsidP="006D0C56">
            <w:pPr>
              <w:pStyle w:val="BodyText"/>
            </w:pPr>
            <w:r w:rsidRPr="006D0C56">
              <w:t>2.4 Maintain chain of custody of sampling equipment, documentation and sample</w:t>
            </w:r>
          </w:p>
          <w:p w:rsidR="00000000" w:rsidRPr="006D0C56" w:rsidP="006D0C56">
            <w:pPr>
              <w:pStyle w:val="BodyText"/>
            </w:pPr>
            <w:r w:rsidRPr="006D0C56">
              <w:t xml:space="preserve">2.5 Follow swab documentation, </w:t>
            </w:r>
            <w:r w:rsidRPr="006D0C56">
              <w:t>packaging, security and shipping protocols</w:t>
            </w:r>
          </w:p>
          <w:p w:rsidR="00000000" w:rsidRPr="006D0C56" w:rsidP="006D0C56">
            <w:pPr>
              <w:pStyle w:val="BodyText"/>
            </w:pPr>
            <w:r w:rsidRPr="006D0C56">
              <w:t>2.6 Implement contingency plans when sample cannot be provided within timeframe</w:t>
            </w:r>
          </w:p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2.7 Maintain safety of greyhound or horse, self and others during collection of sample</w:t>
            </w:r>
          </w:p>
        </w:tc>
      </w:tr>
      <w:tr w:rsidTr="00DA0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3. Complete sample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t>3.1 Complete and s</w:t>
            </w:r>
            <w:r w:rsidRPr="006D0C56">
              <w:t>tore sample documents according to racing protocols and procedures</w:t>
            </w:r>
          </w:p>
          <w:p w:rsidR="00000000" w:rsidRPr="006D0C56" w:rsidP="006D0C56">
            <w:pPr>
              <w:pStyle w:val="BodyText"/>
            </w:pPr>
            <w:r w:rsidRPr="006D0C56">
              <w:t>3.2 Record and report alterations to collection procedures to stewards</w:t>
            </w:r>
          </w:p>
          <w:p w:rsidR="00000000" w:rsidRPr="006D0C56" w:rsidP="006D0C56">
            <w:pPr>
              <w:pStyle w:val="BodyText"/>
            </w:pPr>
            <w:r w:rsidRPr="006D0C56">
              <w:t>3.3 Record and report incidents that occurred during collection process to stewards</w:t>
            </w:r>
          </w:p>
          <w:p w:rsidR="00000000" w:rsidRPr="006D0C56" w:rsidP="006D0C56">
            <w:pPr>
              <w:pStyle w:val="BodyText"/>
            </w:pPr>
            <w:r w:rsidRPr="006D0C56">
              <w:t>3.4 Give evidence relating to coll</w:t>
            </w:r>
            <w:r w:rsidRPr="006D0C56">
              <w:t>ection processes at inquiries when requested by stewards</w:t>
            </w:r>
          </w:p>
        </w:tc>
      </w:tr>
    </w:tbl>
    <w:p w:rsidR="00000000" w:rsidRPr="006D0C56" w:rsidP="006D0C56">
      <w:pPr>
        <w:pStyle w:val="BodyText"/>
      </w:pPr>
    </w:p>
    <w:p w:rsidR="00000000" w:rsidRPr="006D0C56" w:rsidP="006D0C56">
      <w:pPr>
        <w:pStyle w:val="AllowPageBreak"/>
      </w:pPr>
    </w:p>
    <w:p w:rsidR="00000000" w:rsidRPr="006D0C56" w:rsidP="006D0C56">
      <w:pPr>
        <w:pStyle w:val="Heading1"/>
      </w:pPr>
      <w:bookmarkStart w:id="6" w:name="O_978343"/>
      <w:bookmarkEnd w:id="6"/>
      <w:r w:rsidRPr="006D0C56">
        <w:t>Foundation Skills</w:t>
      </w:r>
    </w:p>
    <w:p w:rsidR="00000000" w:rsidRPr="00DA0901" w:rsidP="00DA0901">
      <w:pPr>
        <w:pStyle w:val="BodyText"/>
        <w:rPr>
          <w:i/>
        </w:rPr>
      </w:pPr>
      <w:r w:rsidRPr="00DA0901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DA0901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rPr>
                <w:rStyle w:val="SpecialBold"/>
              </w:rPr>
              <w:t>Description</w:t>
            </w:r>
          </w:p>
        </w:tc>
      </w:tr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ListBullet"/>
              <w:rPr>
                <w:lang w:val="en-NZ"/>
              </w:rPr>
            </w:pPr>
            <w:r w:rsidRPr="006D0C56">
              <w:t>Interpret instructions, workplace procedures, reporting requirements and rules of racing relating to collecting non-blood samples</w:t>
            </w:r>
          </w:p>
        </w:tc>
      </w:tr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ListBullet"/>
              <w:rPr>
                <w:lang w:val="en-NZ"/>
              </w:rPr>
            </w:pPr>
            <w:r w:rsidRPr="006D0C56">
              <w:t xml:space="preserve">Record data accurately and complete workplace documentation and report clearly and succinctly </w:t>
            </w:r>
          </w:p>
        </w:tc>
      </w:tr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ListBullet"/>
              <w:rPr>
                <w:lang w:val="en-NZ"/>
              </w:rPr>
            </w:pPr>
            <w:r w:rsidRPr="006D0C56">
              <w:t>Measure and calculate volume associated with non-blood sampling</w:t>
            </w:r>
          </w:p>
        </w:tc>
      </w:tr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ListBullet"/>
              <w:rPr>
                <w:lang w:val="en-NZ"/>
              </w:rPr>
            </w:pPr>
            <w:r w:rsidRPr="006D0C56">
              <w:t>Provide prompt and succinct information to stewards and others as required</w:t>
            </w:r>
          </w:p>
        </w:tc>
      </w:tr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ListBullet"/>
            </w:pPr>
            <w:r w:rsidRPr="006D0C56">
              <w:t>Take responsibility for adherence to workplace and racing industry procedures, including safe work practices and animal welfare requirements, relating t</w:t>
            </w:r>
            <w:r w:rsidRPr="006D0C56">
              <w:t xml:space="preserve">o own role and area of responsibility </w:t>
            </w:r>
          </w:p>
          <w:p w:rsidR="00000000" w:rsidP="006D0C56">
            <w:pPr>
              <w:pStyle w:val="ListBullet"/>
              <w:rPr>
                <w:lang w:val="en-NZ"/>
              </w:rPr>
            </w:pPr>
            <w:r w:rsidRPr="006D0C56">
              <w:t xml:space="preserve">Recognise importance of complying with collection protocols and procedures essential to maintaining the integrity of the samples and the continuity and security of evidence </w:t>
            </w:r>
          </w:p>
        </w:tc>
      </w:tr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ListBullet"/>
            </w:pPr>
            <w:r w:rsidRPr="006D0C56">
              <w:t>Work collaboratively</w:t>
            </w:r>
            <w:r w:rsidRPr="006D0C56">
              <w:t xml:space="preserve"> with others to ensure timely completion of job tasks </w:t>
            </w:r>
          </w:p>
          <w:p w:rsidR="00000000" w:rsidP="006D0C56">
            <w:pPr>
              <w:pStyle w:val="ListBullet"/>
              <w:rPr>
                <w:lang w:val="en-NZ"/>
              </w:rPr>
            </w:pPr>
            <w:r w:rsidRPr="006D0C56">
              <w:t>Follow protocols and procedures for communicating with stewards and licensed and other racing industry personnel</w:t>
            </w:r>
          </w:p>
        </w:tc>
      </w:tr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ListBullet"/>
            </w:pPr>
            <w:r w:rsidRPr="006D0C56">
              <w:t>Plan, prioritise and assemble resources to collect non-blood samples</w:t>
            </w:r>
            <w:r w:rsidRPr="006D0C56">
              <w:t xml:space="preserve"> from racing animals in required timeframes</w:t>
            </w:r>
          </w:p>
          <w:p w:rsidR="00000000" w:rsidRPr="006D0C56" w:rsidP="006D0C56">
            <w:pPr>
              <w:pStyle w:val="ListBullet"/>
            </w:pPr>
            <w:r w:rsidRPr="006D0C56">
              <w:t>Use problem-solving techniques to deal with difficult people and contingency situations</w:t>
            </w:r>
          </w:p>
        </w:tc>
      </w:tr>
    </w:tbl>
    <w:p w:rsidR="00000000" w:rsidRPr="006D0C56" w:rsidP="006D0C56">
      <w:pPr>
        <w:pStyle w:val="BodyText"/>
      </w:pPr>
    </w:p>
    <w:p w:rsidR="00000000" w:rsidRPr="006D0C56" w:rsidP="006D0C56">
      <w:pPr>
        <w:pStyle w:val="AllowPageBreak"/>
      </w:pPr>
    </w:p>
    <w:p w:rsidR="00000000" w:rsidRPr="006D0C56" w:rsidP="006D0C56">
      <w:pPr>
        <w:pStyle w:val="Heading1"/>
      </w:pPr>
      <w:bookmarkStart w:id="7" w:name="O_978345"/>
      <w:bookmarkEnd w:id="7"/>
      <w:r w:rsidRPr="006D0C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rPr>
                <w:rStyle w:val="SpecialBold"/>
              </w:rPr>
              <w:t>Equivalence status</w:t>
            </w:r>
          </w:p>
        </w:tc>
      </w:tr>
      <w:tr w:rsidTr="006D0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RGRSWA301 Collect non-blood samples from greyhounds or horses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RGRSWA301A Collect non-blood samples from greyhounds or horses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t>Updated to meet Standards for Training Packages.</w:t>
            </w:r>
          </w:p>
          <w:p w:rsidR="00000000" w:rsidP="006D0C56">
            <w:pPr>
              <w:pStyle w:val="BodyText"/>
              <w:rPr>
                <w:lang w:val="en-NZ"/>
              </w:rPr>
            </w:pPr>
            <w:r w:rsidRPr="006D0C56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6" w:rsidP="006D0C56">
            <w:pPr>
              <w:pStyle w:val="BodyText"/>
            </w:pPr>
            <w:r w:rsidRPr="006D0C56">
              <w:t xml:space="preserve">Equivalent </w:t>
            </w:r>
            <w:r w:rsidRPr="006D0C56">
              <w:t>unit</w:t>
            </w:r>
          </w:p>
        </w:tc>
      </w:tr>
    </w:tbl>
    <w:p w:rsidR="00000000" w:rsidRPr="006D0C56" w:rsidP="006D0C56">
      <w:pPr>
        <w:pStyle w:val="BodyText"/>
      </w:pPr>
    </w:p>
    <w:p w:rsidR="00000000" w:rsidRPr="006D0C56" w:rsidP="006D0C56">
      <w:pPr>
        <w:pStyle w:val="AllowPageBreak"/>
      </w:pPr>
    </w:p>
    <w:p w:rsidR="00000000" w:rsidRPr="006D0C56" w:rsidP="006D0C56">
      <w:pPr>
        <w:pStyle w:val="Heading1"/>
      </w:pPr>
      <w:bookmarkStart w:id="8" w:name="O_978352"/>
      <w:bookmarkEnd w:id="8"/>
      <w:r w:rsidRPr="006D0C56">
        <w:t>Links</w:t>
      </w:r>
    </w:p>
    <w:p w:rsidR="00000000" w:rsidRPr="006D0C56" w:rsidP="00DA0901">
      <w:pPr>
        <w:pStyle w:val="BodyText"/>
      </w:pPr>
      <w:r w:rsidRPr="006D0C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3479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D0C56" w:rsidP="006D0C56"/>
    <w:sectPr w:rsidSect="006D0C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56" w:rsidRPr="00DA0901" w:rsidP="00DA0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901" w:rsidP="006D0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901" w:rsidP="006D0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0901" w:rsidP="006D0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9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C56" w:rsidRPr="00DA0901" w:rsidP="00DA09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901" w:rsidRPr="002D2AF8" w:rsidP="006D0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RGRSWA301 Collect non-blood samples from greyhounds 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A0901" w:rsidP="006D0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4A4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B4A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C56"/>
  </w:style>
  <w:style w:type="character" w:customStyle="1" w:styleId="Heading1Char">
    <w:name w:val="Heading 1 Char"/>
    <w:basedOn w:val="DefaultParagraphFont"/>
    <w:link w:val="Heading1"/>
    <w:rsid w:val="006D0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C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C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C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C56"/>
    <w:rPr>
      <w:b/>
      <w:spacing w:val="0"/>
    </w:rPr>
  </w:style>
  <w:style w:type="character" w:styleId="Emphasis">
    <w:name w:val="Emphasis"/>
    <w:basedOn w:val="DefaultParagraphFont"/>
    <w:qFormat/>
    <w:rsid w:val="006D0C56"/>
    <w:rPr>
      <w:i/>
    </w:rPr>
  </w:style>
  <w:style w:type="paragraph" w:customStyle="1" w:styleId="SuperHeading">
    <w:name w:val="SuperHeading"/>
    <w:basedOn w:val="Normal"/>
    <w:rsid w:val="006D0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C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C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C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0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C56"/>
  </w:style>
  <w:style w:type="paragraph" w:styleId="TableofFigures">
    <w:name w:val="table of figures"/>
    <w:basedOn w:val="Normal"/>
    <w:next w:val="Normal"/>
    <w:semiHidden/>
    <w:rsid w:val="006D0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C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C56"/>
    <w:rPr>
      <w:rFonts w:ascii="Wingdings" w:hAnsi="Wingdings"/>
    </w:rPr>
  </w:style>
  <w:style w:type="paragraph" w:customStyle="1" w:styleId="TableHeading">
    <w:name w:val="Table Heading"/>
    <w:basedOn w:val="HeadingBase"/>
    <w:rsid w:val="006D0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C56"/>
    <w:rPr>
      <w:color w:val="0033CC"/>
      <w:u w:val="none"/>
    </w:rPr>
  </w:style>
  <w:style w:type="paragraph" w:customStyle="1" w:styleId="BodyTextRight">
    <w:name w:val="Body Text Right"/>
    <w:basedOn w:val="BodyText"/>
    <w:rsid w:val="006D0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C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C56"/>
    <w:rPr>
      <w:sz w:val="32"/>
    </w:rPr>
  </w:style>
  <w:style w:type="paragraph" w:customStyle="1" w:styleId="HeadingProcedure">
    <w:name w:val="Heading Procedure"/>
    <w:basedOn w:val="HeadingBase"/>
    <w:next w:val="Normal"/>
    <w:rsid w:val="006D0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C56"/>
    <w:pPr>
      <w:spacing w:before="60" w:after="60"/>
    </w:pPr>
  </w:style>
  <w:style w:type="paragraph" w:styleId="ListContinue">
    <w:name w:val="List Continue"/>
    <w:basedOn w:val="List"/>
    <w:rsid w:val="006D0C56"/>
    <w:pPr>
      <w:ind w:firstLine="0"/>
    </w:pPr>
  </w:style>
  <w:style w:type="paragraph" w:customStyle="1" w:styleId="ListNote">
    <w:name w:val="List Note"/>
    <w:basedOn w:val="List"/>
    <w:rsid w:val="006D0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C56"/>
    <w:rPr>
      <w:rFonts w:ascii="Courier New" w:hAnsi="Courier New"/>
    </w:rPr>
  </w:style>
  <w:style w:type="paragraph" w:customStyle="1" w:styleId="NoteBullet">
    <w:name w:val="Note Bullet"/>
    <w:basedOn w:val="Note"/>
    <w:rsid w:val="006D0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C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C56"/>
    <w:rPr>
      <w:b/>
      <w:smallCaps/>
    </w:rPr>
  </w:style>
  <w:style w:type="paragraph" w:customStyle="1" w:styleId="TableListNumber">
    <w:name w:val="Table List Number"/>
    <w:basedOn w:val="ListNumber"/>
    <w:rsid w:val="006D0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C56"/>
    <w:pPr>
      <w:numPr>
        <w:numId w:val="8"/>
      </w:numPr>
    </w:pPr>
  </w:style>
  <w:style w:type="paragraph" w:customStyle="1" w:styleId="ListAlpha2">
    <w:name w:val="List Alpha 2"/>
    <w:basedOn w:val="List2"/>
    <w:rsid w:val="006D0C56"/>
    <w:pPr>
      <w:numPr>
        <w:numId w:val="7"/>
      </w:numPr>
    </w:pPr>
  </w:style>
  <w:style w:type="paragraph" w:styleId="List2">
    <w:name w:val="List 2"/>
    <w:basedOn w:val="BodyText"/>
    <w:rsid w:val="006D0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C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C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C56"/>
    <w:pPr>
      <w:numPr>
        <w:numId w:val="3"/>
      </w:numPr>
    </w:pPr>
  </w:style>
  <w:style w:type="paragraph" w:styleId="ListContinue2">
    <w:name w:val="List Continue 2"/>
    <w:basedOn w:val="List2"/>
    <w:rsid w:val="006D0C56"/>
    <w:pPr>
      <w:ind w:firstLine="0"/>
    </w:pPr>
  </w:style>
  <w:style w:type="paragraph" w:styleId="ListContinue3">
    <w:name w:val="List Continue 3"/>
    <w:basedOn w:val="List3"/>
    <w:rsid w:val="006D0C56"/>
    <w:pPr>
      <w:ind w:left="1021" w:firstLine="0"/>
    </w:pPr>
  </w:style>
  <w:style w:type="paragraph" w:styleId="ListContinue4">
    <w:name w:val="List Continue 4"/>
    <w:basedOn w:val="List4"/>
    <w:rsid w:val="006D0C56"/>
    <w:pPr>
      <w:ind w:firstLine="0"/>
    </w:pPr>
  </w:style>
  <w:style w:type="paragraph" w:styleId="ListContinue5">
    <w:name w:val="List Continue 5"/>
    <w:basedOn w:val="List5"/>
    <w:rsid w:val="006D0C56"/>
    <w:pPr>
      <w:ind w:firstLine="0"/>
    </w:pPr>
  </w:style>
  <w:style w:type="paragraph" w:styleId="ListNumber3">
    <w:name w:val="List Number 3"/>
    <w:basedOn w:val="List3"/>
    <w:rsid w:val="006D0C56"/>
    <w:pPr>
      <w:numPr>
        <w:numId w:val="4"/>
      </w:numPr>
    </w:pPr>
  </w:style>
  <w:style w:type="paragraph" w:styleId="ListNumber4">
    <w:name w:val="List Number 4"/>
    <w:basedOn w:val="List4"/>
    <w:rsid w:val="006D0C56"/>
    <w:pPr>
      <w:numPr>
        <w:numId w:val="5"/>
      </w:numPr>
    </w:pPr>
  </w:style>
  <w:style w:type="paragraph" w:styleId="ListNumber5">
    <w:name w:val="List Number 5"/>
    <w:basedOn w:val="List5"/>
    <w:rsid w:val="006D0C56"/>
    <w:pPr>
      <w:numPr>
        <w:numId w:val="6"/>
      </w:numPr>
    </w:pPr>
  </w:style>
  <w:style w:type="paragraph" w:styleId="BlockText">
    <w:name w:val="Block Text"/>
    <w:basedOn w:val="Normal"/>
    <w:rsid w:val="006D0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C56"/>
    <w:rPr>
      <w:sz w:val="16"/>
      <w:vertAlign w:val="superscript"/>
    </w:rPr>
  </w:style>
  <w:style w:type="character" w:customStyle="1" w:styleId="Symbols">
    <w:name w:val="Symbols"/>
    <w:basedOn w:val="DefaultParagraphFont"/>
    <w:rsid w:val="006D0C56"/>
    <w:rPr>
      <w:rFonts w:ascii="Symbol" w:hAnsi="Symbol"/>
    </w:rPr>
  </w:style>
  <w:style w:type="character" w:customStyle="1" w:styleId="MenuOptions">
    <w:name w:val="Menu Options"/>
    <w:basedOn w:val="DefaultParagraphFont"/>
    <w:rsid w:val="006D0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C56"/>
    <w:rPr>
      <w:b/>
    </w:rPr>
  </w:style>
  <w:style w:type="character" w:customStyle="1" w:styleId="Underlined">
    <w:name w:val="Underlined"/>
    <w:basedOn w:val="DefaultParagraphFont"/>
    <w:rsid w:val="006D0C56"/>
    <w:rPr>
      <w:u w:val="single"/>
    </w:rPr>
  </w:style>
  <w:style w:type="paragraph" w:customStyle="1" w:styleId="TableBodyTextRight">
    <w:name w:val="Table Body Text Right"/>
    <w:basedOn w:val="TableBodyText"/>
    <w:rsid w:val="006D0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C56"/>
    <w:rPr>
      <w:sz w:val="18"/>
    </w:rPr>
  </w:style>
  <w:style w:type="paragraph" w:customStyle="1" w:styleId="BodySmallRight">
    <w:name w:val="Body Small Right"/>
    <w:basedOn w:val="BodyTextRight"/>
    <w:rsid w:val="006D0C56"/>
    <w:rPr>
      <w:sz w:val="18"/>
      <w:szCs w:val="18"/>
    </w:rPr>
  </w:style>
  <w:style w:type="paragraph" w:customStyle="1" w:styleId="MarginEdition">
    <w:name w:val="Margin Edition"/>
    <w:basedOn w:val="MarginNote"/>
    <w:rsid w:val="006D0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C56"/>
    <w:rPr>
      <w:sz w:val="2"/>
      <w:szCs w:val="2"/>
    </w:rPr>
  </w:style>
  <w:style w:type="character" w:customStyle="1" w:styleId="Small">
    <w:name w:val="Small"/>
    <w:basedOn w:val="DefaultParagraphFont"/>
    <w:rsid w:val="006D0C56"/>
    <w:rPr>
      <w:sz w:val="16"/>
    </w:rPr>
  </w:style>
  <w:style w:type="paragraph" w:customStyle="1" w:styleId="WideTable">
    <w:name w:val="Wide Table"/>
    <w:basedOn w:val="Normal"/>
    <w:rsid w:val="006D0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C56"/>
  </w:style>
  <w:style w:type="paragraph" w:styleId="Quote">
    <w:name w:val="Quote"/>
    <w:basedOn w:val="Heading1"/>
    <w:link w:val="QuoteChar"/>
    <w:qFormat/>
    <w:rsid w:val="006D0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C56"/>
    <w:pPr>
      <w:pageBreakBefore/>
    </w:pPr>
  </w:style>
  <w:style w:type="paragraph" w:customStyle="1" w:styleId="Border">
    <w:name w:val="Border"/>
    <w:basedOn w:val="Normal"/>
    <w:qFormat/>
    <w:rsid w:val="006D0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C56"/>
    <w:rPr>
      <w:u w:val="single"/>
    </w:rPr>
  </w:style>
  <w:style w:type="character" w:customStyle="1" w:styleId="BoldandItalics">
    <w:name w:val="Bold and Italics"/>
    <w:qFormat/>
    <w:rsid w:val="006D0C56"/>
    <w:rPr>
      <w:b/>
      <w:i/>
      <w:u w:val="none"/>
    </w:rPr>
  </w:style>
  <w:style w:type="paragraph" w:styleId="BalloonText">
    <w:name w:val="Balloon Text"/>
    <w:basedOn w:val="Normal"/>
    <w:link w:val="BalloonTextChar"/>
    <w:rsid w:val="006D0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C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C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C56"/>
    <w:pPr>
      <w:spacing w:before="0" w:after="0"/>
    </w:pPr>
  </w:style>
  <w:style w:type="paragraph" w:customStyle="1" w:styleId="BodyTextBold">
    <w:name w:val="Body Text Bold"/>
    <w:basedOn w:val="BodyText"/>
    <w:qFormat/>
    <w:rsid w:val="006D0C56"/>
    <w:rPr>
      <w:b/>
    </w:rPr>
  </w:style>
  <w:style w:type="character" w:styleId="Hyperlink">
    <w:name w:val="Hyperlink"/>
    <w:basedOn w:val="DefaultParagraphFont"/>
    <w:uiPriority w:val="99"/>
    <w:unhideWhenUsed/>
    <w:rsid w:val="00DA0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4065</Characters>
  <Application>Microsoft Office Word</Application>
  <DocSecurity>0</DocSecurity>
  <Lines>150</Lines>
  <Paragraphs>86</Paragraphs>
  <ScaleCrop>false</ScaleCrop>
  <Company>Author-it Software Corporation Ltd.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RGRSWA301 Collect non-blood samples from greyhounds or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