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F6A" w:rsidP="004B5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RGRSWA301 Collect non-blood samples from greyhounds or horses</w:t>
      </w:r>
      <w:r>
        <w:fldChar w:fldCharType="end"/>
      </w:r>
    </w:p>
    <w:p w:rsidR="004B5F6A" w:rsidP="004B5F6A">
      <w:pPr>
        <w:pStyle w:val="Version"/>
        <w:sectPr w:rsidSect="00197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122" w:rsidP="00197122">
      <w:pPr>
        <w:pStyle w:val="SuperHeading"/>
      </w:pPr>
      <w:r w:rsidRPr="00197122">
        <w:t>Assessment Requirements for RGRSWA301 Collect non-blood samples from greyhounds or horses</w:t>
      </w:r>
    </w:p>
    <w:p w:rsidR="00000000" w:rsidRPr="00197122" w:rsidP="00197122">
      <w:pPr>
        <w:pStyle w:val="Heading1"/>
      </w:pPr>
      <w:bookmarkStart w:id="1" w:name="O_978347"/>
      <w:bookmarkEnd w:id="1"/>
      <w:r w:rsidRPr="001971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7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122" w:rsidP="00197122">
            <w:pPr>
              <w:pStyle w:val="BodyText"/>
            </w:pPr>
            <w:r w:rsidRPr="001971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122">
            <w:pPr>
              <w:pStyle w:val="BodyText"/>
              <w:rPr>
                <w:lang w:val="en-NZ"/>
              </w:rPr>
            </w:pPr>
            <w:r w:rsidRPr="00197122">
              <w:rPr>
                <w:rStyle w:val="SpecialBold"/>
              </w:rPr>
              <w:t>Comments</w:t>
            </w:r>
          </w:p>
        </w:tc>
      </w:tr>
      <w:tr w:rsidTr="00197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122">
            <w:pPr>
              <w:pStyle w:val="BodyText"/>
              <w:rPr>
                <w:lang w:val="en-NZ"/>
              </w:rPr>
            </w:pPr>
            <w:r w:rsidRPr="001971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122" w:rsidP="00197122">
            <w:pPr>
              <w:pStyle w:val="BodyText"/>
            </w:pPr>
            <w:r w:rsidRPr="00197122">
              <w:t>This version released with RGR Racing and Breeding Training Package Version 2.0.</w:t>
            </w:r>
          </w:p>
        </w:tc>
      </w:tr>
    </w:tbl>
    <w:p w:rsidR="00000000" w:rsidRPr="00197122" w:rsidP="00197122">
      <w:pPr>
        <w:pStyle w:val="BodyText"/>
      </w:pPr>
    </w:p>
    <w:p w:rsidR="00000000" w:rsidRPr="00197122" w:rsidP="00197122">
      <w:pPr>
        <w:pStyle w:val="AllowPageBreak"/>
      </w:pPr>
    </w:p>
    <w:p w:rsidR="00000000" w:rsidRPr="00197122" w:rsidP="00197122">
      <w:pPr>
        <w:pStyle w:val="Heading1"/>
      </w:pPr>
      <w:bookmarkStart w:id="2" w:name="O_978348"/>
      <w:bookmarkEnd w:id="2"/>
      <w:r w:rsidRPr="00197122">
        <w:t>Performance Evidence</w:t>
      </w:r>
    </w:p>
    <w:p w:rsidR="00000000" w:rsidRPr="00197122" w:rsidP="004B5F6A">
      <w:pPr>
        <w:pStyle w:val="BodyText"/>
      </w:pPr>
      <w:r w:rsidRPr="00197122">
        <w:t>An individual demonstrating competency in this unit must satisfy all of the elements and performance criteria of this unit. There must be evidence that the individual has collected non-blood samples from at least three greyhounds or ho</w:t>
      </w:r>
      <w:r w:rsidRPr="00197122">
        <w:t>rses over two separate occasions, including for each:</w:t>
      </w:r>
    </w:p>
    <w:p w:rsidR="00000000" w:rsidRPr="00197122" w:rsidP="00197122">
      <w:pPr>
        <w:pStyle w:val="ListBullet"/>
      </w:pPr>
      <w:r w:rsidRPr="00197122">
        <w:t>confirmed sample collection arrangements with stewards and identified animal by colour, brand, sex, and leg and face markings</w:t>
      </w:r>
    </w:p>
    <w:p w:rsidR="00000000" w:rsidRPr="00197122" w:rsidP="00197122">
      <w:pPr>
        <w:pStyle w:val="ListBullet"/>
      </w:pPr>
      <w:r w:rsidRPr="00197122">
        <w:t>prepared resources and secured area for sample collection</w:t>
      </w:r>
    </w:p>
    <w:p w:rsidR="00000000" w:rsidRPr="00197122" w:rsidP="00197122">
      <w:pPr>
        <w:pStyle w:val="ListBullet"/>
      </w:pPr>
      <w:r w:rsidRPr="00197122">
        <w:t>explained process to industry participant involved in the collection process</w:t>
      </w:r>
    </w:p>
    <w:p w:rsidR="00000000" w:rsidRPr="00197122" w:rsidP="00197122">
      <w:pPr>
        <w:pStyle w:val="ListBullet"/>
      </w:pPr>
      <w:r w:rsidRPr="00197122">
        <w:t>used safe handling work practices when escorting and dealing with greyhounds or horses</w:t>
      </w:r>
    </w:p>
    <w:p w:rsidR="00000000" w:rsidRPr="00197122" w:rsidP="00197122">
      <w:pPr>
        <w:pStyle w:val="ListBullet"/>
      </w:pPr>
      <w:r w:rsidRPr="00197122">
        <w:t>interpreted instructions and completed documentation for the collection of non-blood samples</w:t>
      </w:r>
    </w:p>
    <w:p w:rsidR="00000000" w:rsidRPr="00197122" w:rsidP="00197122">
      <w:pPr>
        <w:pStyle w:val="ListBullet"/>
      </w:pPr>
      <w:r w:rsidRPr="00197122">
        <w:t>collected non-blood samples from greyhounds or horses</w:t>
      </w:r>
    </w:p>
    <w:p w:rsidR="00000000" w:rsidRPr="00197122" w:rsidP="00197122">
      <w:pPr>
        <w:pStyle w:val="ListBullet"/>
      </w:pPr>
      <w:r w:rsidRPr="00197122">
        <w:t>followed laboratory procedures, including security and chain of custody protocols for the possession of non-blood samples, transportation and logging and recording of samples</w:t>
      </w:r>
    </w:p>
    <w:p w:rsidR="00000000" w:rsidRPr="00197122" w:rsidP="00197122">
      <w:pPr>
        <w:pStyle w:val="ListBullet"/>
      </w:pPr>
      <w:r w:rsidRPr="00197122">
        <w:t>identified and reported ir</w:t>
      </w:r>
      <w:r w:rsidRPr="00197122">
        <w:t>regularities in swabbing procedures</w:t>
      </w:r>
    </w:p>
    <w:p w:rsidR="00000000" w:rsidRPr="00197122" w:rsidP="00197122">
      <w:pPr>
        <w:pStyle w:val="ListBullet"/>
      </w:pPr>
      <w:r w:rsidRPr="00197122">
        <w:t>provided information and prompt and succinct reports to stewards and others.</w:t>
      </w:r>
    </w:p>
    <w:p w:rsidR="00000000" w:rsidRPr="00197122" w:rsidP="00197122">
      <w:pPr>
        <w:pStyle w:val="AllowPageBreak"/>
      </w:pPr>
    </w:p>
    <w:p w:rsidR="00000000" w:rsidRPr="00197122" w:rsidP="00197122">
      <w:pPr>
        <w:pStyle w:val="Heading1"/>
      </w:pPr>
      <w:bookmarkStart w:id="3" w:name="O_978349"/>
      <w:bookmarkEnd w:id="3"/>
      <w:r w:rsidRPr="00197122">
        <w:t>Knowledge Evidence</w:t>
      </w:r>
    </w:p>
    <w:p w:rsidR="00000000" w:rsidRPr="00197122" w:rsidP="004B5F6A">
      <w:pPr>
        <w:pStyle w:val="BodyText"/>
      </w:pPr>
      <w:r w:rsidRPr="00197122">
        <w:t>An individual must be able to demonstrate the knowledge required to perform the tasks outlined in the eleme</w:t>
      </w:r>
      <w:r w:rsidRPr="00197122">
        <w:t>nts and performance criteria of this unit. This includes knowledge of:</w:t>
      </w:r>
    </w:p>
    <w:p w:rsidR="00000000" w:rsidRPr="00197122" w:rsidP="00197122">
      <w:pPr>
        <w:pStyle w:val="ListBullet"/>
      </w:pPr>
      <w:r w:rsidRPr="00197122">
        <w:t>role of stewards and veterinarians, and rights of participants/witnesses</w:t>
      </w:r>
    </w:p>
    <w:p w:rsidR="00000000" w:rsidRPr="00197122" w:rsidP="00197122">
      <w:pPr>
        <w:pStyle w:val="ListBullet"/>
      </w:pPr>
      <w:r w:rsidRPr="00197122">
        <w:t>swabbing protocols and terminology and associated rules of racing</w:t>
      </w:r>
    </w:p>
    <w:p w:rsidR="00000000" w:rsidRPr="00197122" w:rsidP="00197122">
      <w:pPr>
        <w:pStyle w:val="ListBullet"/>
      </w:pPr>
      <w:r w:rsidRPr="00197122">
        <w:t xml:space="preserve">techniques for safely handling greyhounds or </w:t>
      </w:r>
      <w:r w:rsidRPr="00197122">
        <w:t xml:space="preserve">horses </w:t>
      </w:r>
    </w:p>
    <w:p w:rsidR="00000000" w:rsidRPr="00197122" w:rsidP="00197122">
      <w:pPr>
        <w:pStyle w:val="ListBullet"/>
      </w:pPr>
      <w:r w:rsidRPr="00197122">
        <w:t>common greyhound or horse behaviour and communication traits</w:t>
      </w:r>
    </w:p>
    <w:p w:rsidR="00000000" w:rsidRPr="00197122" w:rsidP="00197122">
      <w:pPr>
        <w:pStyle w:val="ListBullet"/>
      </w:pPr>
      <w:r w:rsidRPr="00197122">
        <w:t>types and purpose of equipment for collecting samples, including personal protective equipment</w:t>
      </w:r>
    </w:p>
    <w:p w:rsidR="00000000" w:rsidRPr="00197122" w:rsidP="00197122">
      <w:pPr>
        <w:pStyle w:val="ListBullet"/>
      </w:pPr>
      <w:r w:rsidRPr="00197122">
        <w:t>workplace operating procedures for:</w:t>
      </w:r>
    </w:p>
    <w:p w:rsidR="00000000" w:rsidRPr="00197122" w:rsidP="00197122">
      <w:pPr>
        <w:pStyle w:val="ListBullet2"/>
      </w:pPr>
      <w:r w:rsidRPr="00197122">
        <w:t>preparing the collection area</w:t>
      </w:r>
    </w:p>
    <w:p w:rsidR="00000000" w:rsidRPr="00197122" w:rsidP="00197122">
      <w:pPr>
        <w:pStyle w:val="ListBullet2"/>
      </w:pPr>
      <w:r w:rsidRPr="00197122">
        <w:t>sample collection for saliva, urine and other non-invasive samples</w:t>
      </w:r>
    </w:p>
    <w:p w:rsidR="00000000" w:rsidRPr="00197122" w:rsidP="00197122">
      <w:pPr>
        <w:pStyle w:val="ListBullet2"/>
      </w:pPr>
      <w:r w:rsidRPr="00197122">
        <w:t>reporting irregularities and problems, including difficulties in obtaining samples</w:t>
      </w:r>
    </w:p>
    <w:p w:rsidR="00000000" w:rsidRPr="00197122" w:rsidP="00197122">
      <w:pPr>
        <w:pStyle w:val="ListBullet2"/>
      </w:pPr>
      <w:r w:rsidRPr="00197122">
        <w:t>contingency situations</w:t>
      </w:r>
    </w:p>
    <w:p w:rsidR="00000000" w:rsidRPr="00197122" w:rsidP="00197122">
      <w:pPr>
        <w:pStyle w:val="ListBullet"/>
      </w:pPr>
      <w:r w:rsidRPr="00197122">
        <w:t>racing industry safety requirements for collecting non-blood samples, including:</w:t>
      </w:r>
    </w:p>
    <w:p w:rsidR="00000000" w:rsidRPr="00197122" w:rsidP="00197122">
      <w:pPr>
        <w:pStyle w:val="ListBullet2"/>
      </w:pPr>
      <w:r w:rsidRPr="00197122">
        <w:t xml:space="preserve">safe operating procedures </w:t>
      </w:r>
    </w:p>
    <w:p w:rsidR="00000000" w:rsidRPr="00197122" w:rsidP="00197122">
      <w:pPr>
        <w:pStyle w:val="ListBullet2"/>
      </w:pPr>
      <w:r w:rsidRPr="00197122">
        <w:t>personal protective equipment</w:t>
      </w:r>
    </w:p>
    <w:p w:rsidR="00000000" w:rsidRPr="00197122" w:rsidP="00197122">
      <w:pPr>
        <w:pStyle w:val="ListBullet2"/>
      </w:pPr>
      <w:r w:rsidRPr="00197122">
        <w:t xml:space="preserve">hazard identification </w:t>
      </w:r>
    </w:p>
    <w:p w:rsidR="00000000" w:rsidRPr="00197122" w:rsidP="00197122">
      <w:pPr>
        <w:pStyle w:val="ListBullet2"/>
      </w:pPr>
      <w:r w:rsidRPr="00197122">
        <w:t xml:space="preserve">risk control </w:t>
      </w:r>
    </w:p>
    <w:p w:rsidR="00000000" w:rsidRPr="00197122" w:rsidP="00197122">
      <w:pPr>
        <w:pStyle w:val="ListBullet"/>
      </w:pPr>
      <w:r w:rsidRPr="00197122">
        <w:t>laboratory protocols and procedures for collecting non-blood samples</w:t>
      </w:r>
    </w:p>
    <w:p w:rsidR="00000000" w:rsidRPr="00197122" w:rsidP="00197122">
      <w:pPr>
        <w:pStyle w:val="ListBullet"/>
      </w:pPr>
      <w:r w:rsidRPr="00197122">
        <w:t>racing industry standards and expectations relevant to the collection of non-blood samples f</w:t>
      </w:r>
      <w:r w:rsidRPr="00197122">
        <w:t>rom greyhounds or horses</w:t>
      </w:r>
    </w:p>
    <w:p w:rsidR="00000000" w:rsidRPr="00197122" w:rsidP="00197122">
      <w:pPr>
        <w:pStyle w:val="ListBullet"/>
      </w:pPr>
      <w:r w:rsidRPr="00197122">
        <w:t>communication procedures within the race meeting environment and wider racing industry</w:t>
      </w:r>
    </w:p>
    <w:p w:rsidR="00000000" w:rsidRPr="00197122" w:rsidP="00197122">
      <w:pPr>
        <w:pStyle w:val="ListBullet"/>
      </w:pPr>
      <w:r w:rsidRPr="00197122">
        <w:t>ethical conduct standards of relevant racing principal authority</w:t>
      </w:r>
    </w:p>
    <w:p w:rsidR="00000000" w:rsidRPr="00197122" w:rsidP="00197122">
      <w:pPr>
        <w:pStyle w:val="ListBullet"/>
      </w:pPr>
      <w:r w:rsidRPr="00197122">
        <w:t>protocols and procedures for communicating with stewards, and licensed and othe</w:t>
      </w:r>
      <w:r w:rsidRPr="00197122">
        <w:t>r racing industry personnel</w:t>
      </w:r>
    </w:p>
    <w:p w:rsidR="00000000" w:rsidRPr="00197122" w:rsidP="00197122">
      <w:pPr>
        <w:pStyle w:val="ListBullet"/>
      </w:pPr>
      <w:r w:rsidRPr="00197122">
        <w:t>racing industry animal welfare requirements.</w:t>
      </w:r>
    </w:p>
    <w:p w:rsidR="00000000" w:rsidRPr="00197122" w:rsidP="00197122">
      <w:pPr>
        <w:pStyle w:val="AllowPageBreak"/>
      </w:pPr>
    </w:p>
    <w:p w:rsidR="00000000" w:rsidRPr="00197122" w:rsidP="00197122">
      <w:pPr>
        <w:pStyle w:val="Heading1"/>
      </w:pPr>
      <w:bookmarkStart w:id="4" w:name="O_978350"/>
      <w:bookmarkEnd w:id="4"/>
      <w:r w:rsidRPr="00197122">
        <w:t>Assessment Conditions</w:t>
      </w:r>
    </w:p>
    <w:p w:rsidR="00000000" w:rsidRPr="00197122" w:rsidP="004B5F6A">
      <w:pPr>
        <w:pStyle w:val="BodyText"/>
      </w:pPr>
      <w:r w:rsidRPr="00197122">
        <w:t xml:space="preserve">Assessment of skills must take place under the following conditions: </w:t>
      </w:r>
    </w:p>
    <w:p w:rsidR="00000000" w:rsidRPr="00197122" w:rsidP="00197122">
      <w:pPr>
        <w:pStyle w:val="ListBullet"/>
      </w:pPr>
      <w:r w:rsidRPr="00197122">
        <w:t>physical conditions:</w:t>
      </w:r>
    </w:p>
    <w:p w:rsidR="00000000" w:rsidRPr="00197122" w:rsidP="00197122">
      <w:pPr>
        <w:pStyle w:val="ListBullet2"/>
      </w:pPr>
      <w:r w:rsidRPr="00197122">
        <w:t>safe handling areas at a racetrack, swabbing facility or an environment that accurately reflects performance in a real workplace setting</w:t>
      </w:r>
    </w:p>
    <w:p w:rsidR="00000000" w:rsidRPr="00197122" w:rsidP="00197122">
      <w:pPr>
        <w:pStyle w:val="ListBullet"/>
      </w:pPr>
      <w:r w:rsidRPr="00197122">
        <w:t>resources, equipment and materials:</w:t>
      </w:r>
    </w:p>
    <w:p w:rsidR="00000000" w:rsidRPr="00197122" w:rsidP="00197122">
      <w:pPr>
        <w:pStyle w:val="ListBullet2"/>
      </w:pPr>
      <w:r w:rsidRPr="00197122">
        <w:t>various greyhounds or horses for collecting non-blood samples</w:t>
      </w:r>
    </w:p>
    <w:p w:rsidR="00000000" w:rsidRPr="00197122" w:rsidP="00197122">
      <w:pPr>
        <w:pStyle w:val="ListBullet2"/>
      </w:pPr>
      <w:r w:rsidRPr="00197122">
        <w:t>workplace instructi</w:t>
      </w:r>
      <w:r w:rsidRPr="00197122">
        <w:t>ons and laboratory procedures and reporting documentation</w:t>
      </w:r>
    </w:p>
    <w:p w:rsidR="00000000" w:rsidRPr="00197122" w:rsidP="00197122">
      <w:pPr>
        <w:pStyle w:val="ListBullet2"/>
      </w:pPr>
      <w:r w:rsidRPr="00197122">
        <w:t>equipment for collecting non-blood samples</w:t>
      </w:r>
    </w:p>
    <w:p w:rsidR="00000000" w:rsidRPr="00197122" w:rsidP="00197122">
      <w:pPr>
        <w:pStyle w:val="ListBullet2"/>
      </w:pPr>
      <w:r w:rsidRPr="00197122">
        <w:t>personal protective equipment correctly fitted and appropriate for activity for individual</w:t>
      </w:r>
    </w:p>
    <w:p w:rsidR="00000000" w:rsidRPr="00197122" w:rsidP="00197122">
      <w:pPr>
        <w:pStyle w:val="ListBullet"/>
      </w:pPr>
      <w:r w:rsidRPr="00197122">
        <w:t>relationships (internal and/or external):</w:t>
      </w:r>
    </w:p>
    <w:p w:rsidR="00000000" w:rsidRPr="00197122" w:rsidP="00197122">
      <w:pPr>
        <w:pStyle w:val="ListBullet2"/>
      </w:pPr>
      <w:r w:rsidRPr="00197122">
        <w:t xml:space="preserve">racing officials or </w:t>
      </w:r>
      <w:r w:rsidRPr="00197122">
        <w:t>other relevant people to report to.</w:t>
      </w:r>
    </w:p>
    <w:p w:rsidR="00000000" w:rsidRPr="00197122" w:rsidP="00197122">
      <w:pPr>
        <w:pStyle w:val="BodyText"/>
      </w:pPr>
    </w:p>
    <w:p w:rsidR="00000000" w:rsidRPr="00197122" w:rsidP="004B5F6A">
      <w:pPr>
        <w:pStyle w:val="BodyText"/>
      </w:pPr>
      <w:r w:rsidRPr="00197122">
        <w:t>Assessors of this unit must satisfy the requirements for assessors in applicable vocational education and training legislation, frameworks and/or standards.</w:t>
      </w:r>
    </w:p>
    <w:p w:rsidR="00000000" w:rsidRPr="00197122" w:rsidP="00197122">
      <w:pPr>
        <w:pStyle w:val="Heading1"/>
      </w:pPr>
      <w:bookmarkStart w:id="5" w:name="O_978353"/>
      <w:bookmarkEnd w:id="5"/>
      <w:r w:rsidRPr="00197122">
        <w:t>Links</w:t>
      </w:r>
    </w:p>
    <w:p w:rsidR="00000000" w:rsidRPr="00197122" w:rsidP="004B5F6A">
      <w:pPr>
        <w:pStyle w:val="BodyText"/>
      </w:pPr>
      <w:r w:rsidRPr="001971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92A5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97122" w:rsidP="00197122"/>
    <w:sectPr w:rsidSect="00197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22" w:rsidRPr="004B5F6A" w:rsidP="004B5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6A" w:rsidP="00197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F6A" w:rsidP="00197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5F6A" w:rsidP="00197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122" w:rsidRPr="004B5F6A" w:rsidP="004B5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6A" w:rsidRPr="002D2AF8" w:rsidP="00197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RGRSWA301 Collect non-blood samples from greyhounds 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B5F6A" w:rsidP="00197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9A9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E5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E8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122"/>
  </w:style>
  <w:style w:type="character" w:customStyle="1" w:styleId="Heading1Char">
    <w:name w:val="Heading 1 Char"/>
    <w:basedOn w:val="DefaultParagraphFont"/>
    <w:link w:val="Heading1"/>
    <w:rsid w:val="00197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1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122"/>
    <w:rPr>
      <w:b/>
      <w:spacing w:val="0"/>
    </w:rPr>
  </w:style>
  <w:style w:type="paragraph" w:styleId="ListBullet2">
    <w:name w:val="List Bullet 2"/>
    <w:basedOn w:val="List2"/>
    <w:rsid w:val="001971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7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1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122"/>
    <w:rPr>
      <w:i/>
    </w:rPr>
  </w:style>
  <w:style w:type="paragraph" w:styleId="Caption">
    <w:name w:val="caption"/>
    <w:basedOn w:val="BodyText"/>
    <w:next w:val="Normal"/>
    <w:qFormat/>
    <w:rsid w:val="00197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122"/>
  </w:style>
  <w:style w:type="paragraph" w:styleId="TableofFigures">
    <w:name w:val="table of figures"/>
    <w:basedOn w:val="Normal"/>
    <w:next w:val="Normal"/>
    <w:semiHidden/>
    <w:rsid w:val="00197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1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122"/>
    <w:rPr>
      <w:rFonts w:ascii="Wingdings" w:hAnsi="Wingdings"/>
    </w:rPr>
  </w:style>
  <w:style w:type="paragraph" w:customStyle="1" w:styleId="TableHeading">
    <w:name w:val="Table Heading"/>
    <w:basedOn w:val="HeadingBase"/>
    <w:rsid w:val="00197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122"/>
    <w:rPr>
      <w:color w:val="0033CC"/>
      <w:u w:val="none"/>
    </w:rPr>
  </w:style>
  <w:style w:type="paragraph" w:customStyle="1" w:styleId="BodyTextRight">
    <w:name w:val="Body Text Right"/>
    <w:basedOn w:val="BodyText"/>
    <w:rsid w:val="00197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1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122"/>
    <w:rPr>
      <w:sz w:val="32"/>
    </w:rPr>
  </w:style>
  <w:style w:type="paragraph" w:customStyle="1" w:styleId="HeadingProcedure">
    <w:name w:val="Heading Procedure"/>
    <w:basedOn w:val="HeadingBase"/>
    <w:next w:val="Normal"/>
    <w:rsid w:val="00197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122"/>
    <w:pPr>
      <w:spacing w:before="60" w:after="60"/>
    </w:pPr>
  </w:style>
  <w:style w:type="paragraph" w:styleId="ListContinue">
    <w:name w:val="List Continue"/>
    <w:basedOn w:val="List"/>
    <w:rsid w:val="00197122"/>
    <w:pPr>
      <w:ind w:firstLine="0"/>
    </w:pPr>
  </w:style>
  <w:style w:type="paragraph" w:customStyle="1" w:styleId="ListNote">
    <w:name w:val="List Note"/>
    <w:basedOn w:val="List"/>
    <w:rsid w:val="00197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122"/>
    <w:rPr>
      <w:rFonts w:ascii="Courier New" w:hAnsi="Courier New"/>
    </w:rPr>
  </w:style>
  <w:style w:type="paragraph" w:customStyle="1" w:styleId="NoteBullet">
    <w:name w:val="Note Bullet"/>
    <w:basedOn w:val="Note"/>
    <w:rsid w:val="00197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1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122"/>
    <w:rPr>
      <w:b/>
      <w:smallCaps/>
    </w:rPr>
  </w:style>
  <w:style w:type="paragraph" w:customStyle="1" w:styleId="TableListNumber">
    <w:name w:val="Table List Number"/>
    <w:basedOn w:val="ListNumber"/>
    <w:rsid w:val="00197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122"/>
    <w:pPr>
      <w:numPr>
        <w:numId w:val="9"/>
      </w:numPr>
    </w:pPr>
  </w:style>
  <w:style w:type="paragraph" w:customStyle="1" w:styleId="ListAlpha2">
    <w:name w:val="List Alpha 2"/>
    <w:basedOn w:val="List2"/>
    <w:rsid w:val="00197122"/>
    <w:pPr>
      <w:numPr>
        <w:numId w:val="8"/>
      </w:numPr>
    </w:pPr>
  </w:style>
  <w:style w:type="paragraph" w:styleId="List2">
    <w:name w:val="List 2"/>
    <w:basedOn w:val="BodyText"/>
    <w:rsid w:val="00197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1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1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122"/>
    <w:pPr>
      <w:numPr>
        <w:numId w:val="4"/>
      </w:numPr>
    </w:pPr>
  </w:style>
  <w:style w:type="paragraph" w:styleId="ListContinue2">
    <w:name w:val="List Continue 2"/>
    <w:basedOn w:val="List2"/>
    <w:rsid w:val="00197122"/>
    <w:pPr>
      <w:ind w:firstLine="0"/>
    </w:pPr>
  </w:style>
  <w:style w:type="paragraph" w:styleId="ListContinue3">
    <w:name w:val="List Continue 3"/>
    <w:basedOn w:val="List3"/>
    <w:rsid w:val="00197122"/>
    <w:pPr>
      <w:ind w:left="1021" w:firstLine="0"/>
    </w:pPr>
  </w:style>
  <w:style w:type="paragraph" w:styleId="ListContinue4">
    <w:name w:val="List Continue 4"/>
    <w:basedOn w:val="List4"/>
    <w:rsid w:val="00197122"/>
    <w:pPr>
      <w:ind w:firstLine="0"/>
    </w:pPr>
  </w:style>
  <w:style w:type="paragraph" w:styleId="ListContinue5">
    <w:name w:val="List Continue 5"/>
    <w:basedOn w:val="List5"/>
    <w:rsid w:val="00197122"/>
    <w:pPr>
      <w:ind w:firstLine="0"/>
    </w:pPr>
  </w:style>
  <w:style w:type="paragraph" w:styleId="ListNumber3">
    <w:name w:val="List Number 3"/>
    <w:basedOn w:val="List3"/>
    <w:rsid w:val="00197122"/>
    <w:pPr>
      <w:numPr>
        <w:numId w:val="5"/>
      </w:numPr>
    </w:pPr>
  </w:style>
  <w:style w:type="paragraph" w:styleId="ListNumber4">
    <w:name w:val="List Number 4"/>
    <w:basedOn w:val="List4"/>
    <w:rsid w:val="00197122"/>
    <w:pPr>
      <w:numPr>
        <w:numId w:val="6"/>
      </w:numPr>
    </w:pPr>
  </w:style>
  <w:style w:type="paragraph" w:styleId="ListNumber5">
    <w:name w:val="List Number 5"/>
    <w:basedOn w:val="List5"/>
    <w:rsid w:val="00197122"/>
    <w:pPr>
      <w:numPr>
        <w:numId w:val="7"/>
      </w:numPr>
    </w:pPr>
  </w:style>
  <w:style w:type="paragraph" w:styleId="BlockText">
    <w:name w:val="Block Text"/>
    <w:basedOn w:val="Normal"/>
    <w:rsid w:val="00197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122"/>
    <w:rPr>
      <w:sz w:val="16"/>
      <w:vertAlign w:val="superscript"/>
    </w:rPr>
  </w:style>
  <w:style w:type="character" w:customStyle="1" w:styleId="Symbols">
    <w:name w:val="Symbols"/>
    <w:basedOn w:val="DefaultParagraphFont"/>
    <w:rsid w:val="00197122"/>
    <w:rPr>
      <w:rFonts w:ascii="Symbol" w:hAnsi="Symbol"/>
    </w:rPr>
  </w:style>
  <w:style w:type="character" w:customStyle="1" w:styleId="MenuOptions">
    <w:name w:val="Menu Options"/>
    <w:basedOn w:val="DefaultParagraphFont"/>
    <w:rsid w:val="00197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122"/>
    <w:rPr>
      <w:b/>
    </w:rPr>
  </w:style>
  <w:style w:type="character" w:customStyle="1" w:styleId="Underlined">
    <w:name w:val="Underlined"/>
    <w:basedOn w:val="DefaultParagraphFont"/>
    <w:rsid w:val="00197122"/>
    <w:rPr>
      <w:u w:val="single"/>
    </w:rPr>
  </w:style>
  <w:style w:type="paragraph" w:customStyle="1" w:styleId="TableBodyTextRight">
    <w:name w:val="Table Body Text Right"/>
    <w:basedOn w:val="TableBodyText"/>
    <w:rsid w:val="00197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122"/>
    <w:rPr>
      <w:sz w:val="18"/>
    </w:rPr>
  </w:style>
  <w:style w:type="paragraph" w:customStyle="1" w:styleId="BodySmallRight">
    <w:name w:val="Body Small Right"/>
    <w:basedOn w:val="BodyTextRight"/>
    <w:rsid w:val="00197122"/>
    <w:rPr>
      <w:sz w:val="18"/>
      <w:szCs w:val="18"/>
    </w:rPr>
  </w:style>
  <w:style w:type="paragraph" w:customStyle="1" w:styleId="MarginEdition">
    <w:name w:val="Margin Edition"/>
    <w:basedOn w:val="MarginNote"/>
    <w:rsid w:val="00197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122"/>
    <w:rPr>
      <w:sz w:val="2"/>
      <w:szCs w:val="2"/>
    </w:rPr>
  </w:style>
  <w:style w:type="character" w:customStyle="1" w:styleId="Small">
    <w:name w:val="Small"/>
    <w:basedOn w:val="DefaultParagraphFont"/>
    <w:rsid w:val="00197122"/>
    <w:rPr>
      <w:sz w:val="16"/>
    </w:rPr>
  </w:style>
  <w:style w:type="paragraph" w:customStyle="1" w:styleId="WideTable">
    <w:name w:val="Wide Table"/>
    <w:basedOn w:val="Normal"/>
    <w:rsid w:val="00197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122"/>
  </w:style>
  <w:style w:type="paragraph" w:styleId="Quote">
    <w:name w:val="Quote"/>
    <w:basedOn w:val="Heading1"/>
    <w:link w:val="QuoteChar"/>
    <w:qFormat/>
    <w:rsid w:val="00197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122"/>
    <w:pPr>
      <w:pageBreakBefore/>
    </w:pPr>
  </w:style>
  <w:style w:type="paragraph" w:customStyle="1" w:styleId="Border">
    <w:name w:val="Border"/>
    <w:basedOn w:val="Normal"/>
    <w:qFormat/>
    <w:rsid w:val="00197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122"/>
    <w:rPr>
      <w:u w:val="single"/>
    </w:rPr>
  </w:style>
  <w:style w:type="character" w:customStyle="1" w:styleId="BoldandItalics">
    <w:name w:val="Bold and Italics"/>
    <w:qFormat/>
    <w:rsid w:val="00197122"/>
    <w:rPr>
      <w:b/>
      <w:i/>
      <w:u w:val="none"/>
    </w:rPr>
  </w:style>
  <w:style w:type="paragraph" w:styleId="BalloonText">
    <w:name w:val="Balloon Text"/>
    <w:basedOn w:val="Normal"/>
    <w:link w:val="BalloonTextChar"/>
    <w:rsid w:val="00197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122"/>
    <w:pPr>
      <w:spacing w:before="0" w:after="0"/>
    </w:pPr>
  </w:style>
  <w:style w:type="paragraph" w:customStyle="1" w:styleId="BodyTextBold">
    <w:name w:val="Body Text Bold"/>
    <w:basedOn w:val="BodyText"/>
    <w:qFormat/>
    <w:rsid w:val="00197122"/>
    <w:rPr>
      <w:b/>
    </w:rPr>
  </w:style>
  <w:style w:type="character" w:styleId="Hyperlink">
    <w:name w:val="Hyperlink"/>
    <w:basedOn w:val="DefaultParagraphFont"/>
    <w:uiPriority w:val="99"/>
    <w:unhideWhenUsed/>
    <w:rsid w:val="004B5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3537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RGRSWA301 Collect non-blood samples from greyhounds or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