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FCF" w:rsidP="00845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RGRSTD302 Interpret wagering trends</w:t>
      </w:r>
      <w:r>
        <w:fldChar w:fldCharType="end"/>
      </w:r>
    </w:p>
    <w:p w:rsidR="00845FCF" w:rsidP="00845FCF">
      <w:pPr>
        <w:pStyle w:val="Version"/>
        <w:sectPr w:rsidSect="00661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E14" w:rsidP="00661E14">
      <w:pPr>
        <w:pStyle w:val="SuperHeading"/>
      </w:pPr>
      <w:r w:rsidRPr="00661E14">
        <w:t>RGRSTD302 Interpret wagering trends</w:t>
      </w:r>
    </w:p>
    <w:p w:rsidR="00000000" w:rsidRPr="00661E14" w:rsidP="00661E14">
      <w:pPr>
        <w:pStyle w:val="Heading1"/>
      </w:pPr>
      <w:bookmarkStart w:id="1" w:name="O_978159"/>
      <w:bookmarkEnd w:id="1"/>
      <w:r w:rsidRPr="00661E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rPr>
                <w:rStyle w:val="SpecialBold"/>
              </w:rPr>
              <w:t>Comments</w:t>
            </w:r>
          </w:p>
        </w:tc>
      </w:tr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t>This version released with RGR Racing and Breeding Training Package Version 2.0.</w:t>
            </w:r>
          </w:p>
        </w:tc>
      </w:tr>
    </w:tbl>
    <w:p w:rsidR="00000000" w:rsidRPr="00661E14" w:rsidP="00661E14">
      <w:pPr>
        <w:pStyle w:val="BodyText"/>
      </w:pPr>
    </w:p>
    <w:p w:rsidR="00000000" w:rsidRPr="00661E14" w:rsidP="00661E14">
      <w:pPr>
        <w:pStyle w:val="AllowPageBreak"/>
      </w:pPr>
    </w:p>
    <w:p w:rsidR="00000000" w:rsidRPr="00661E14" w:rsidP="00661E14">
      <w:pPr>
        <w:pStyle w:val="Heading1"/>
      </w:pPr>
      <w:bookmarkStart w:id="2" w:name="O_978165"/>
      <w:bookmarkEnd w:id="2"/>
      <w:r w:rsidRPr="00661E14">
        <w:t>Application</w:t>
      </w:r>
    </w:p>
    <w:p w:rsidR="00000000" w:rsidRPr="00661E14" w:rsidP="00845FCF">
      <w:pPr>
        <w:pStyle w:val="BodyText"/>
      </w:pPr>
      <w:r w:rsidRPr="00661E14">
        <w:t>This unit of competency describes the skills and knowledge required to conduct pre-race and rac</w:t>
      </w:r>
      <w:r w:rsidRPr="00661E14">
        <w:t>e meeting checks of a variety of documentation, including written, audio and visual, to monitor and interpret wagering information for race integrity purposes.</w:t>
      </w:r>
    </w:p>
    <w:p w:rsidR="00000000" w:rsidRPr="00661E14" w:rsidP="00845FCF">
      <w:pPr>
        <w:pStyle w:val="BodyText"/>
      </w:pPr>
      <w:r w:rsidRPr="00661E14">
        <w:t>The unit applies to stipendiary or cadet stewards or those who have been approved by a Principal</w:t>
      </w:r>
      <w:r w:rsidRPr="00661E14">
        <w:t xml:space="preserve"> Racing Authority (PRA) to perform the job functions associated with interpreting wagering trends in greyhound, harness or thoroughbred racing codes.</w:t>
      </w:r>
    </w:p>
    <w:p w:rsidR="00000000" w:rsidRPr="00661E14" w:rsidP="00845FCF">
      <w:pPr>
        <w:pStyle w:val="BodyText"/>
      </w:pPr>
      <w:r w:rsidRPr="00661E14">
        <w:t>Greyhound, harness and thoroughbred racing are strictly regulated throughout Australia. All stewards are a</w:t>
      </w:r>
      <w:r w:rsidRPr="00661E14">
        <w:t>ppointed under the rules of racing by the relevant PRA. Users are advised to check with the relevant PRA for requirements.</w:t>
      </w:r>
    </w:p>
    <w:p w:rsidR="00000000" w:rsidRPr="00661E14" w:rsidP="00845FCF">
      <w:pPr>
        <w:pStyle w:val="BodyText"/>
      </w:pPr>
      <w:r w:rsidRPr="00661E14">
        <w:t>No occupational licensing, legislative or certification requirements apply to this unit at the time of publication.</w:t>
      </w:r>
    </w:p>
    <w:p w:rsidR="00000000" w:rsidRPr="00661E14" w:rsidP="00661E14">
      <w:pPr>
        <w:pStyle w:val="Heading1"/>
      </w:pPr>
      <w:bookmarkStart w:id="3" w:name="O_978164"/>
      <w:bookmarkEnd w:id="3"/>
      <w:r w:rsidRPr="00661E14">
        <w:t>Pre-requisite Unit</w:t>
      </w:r>
    </w:p>
    <w:p w:rsidR="00000000" w:rsidRPr="00661E14" w:rsidP="00845FCF">
      <w:pPr>
        <w:pStyle w:val="BodyText"/>
      </w:pPr>
      <w:r w:rsidRPr="00661E14">
        <w:t>Nil</w:t>
      </w:r>
    </w:p>
    <w:p w:rsidR="00000000" w:rsidRPr="00661E14" w:rsidP="00661E14">
      <w:pPr>
        <w:pStyle w:val="Heading1"/>
      </w:pPr>
      <w:bookmarkStart w:id="4" w:name="O_978163"/>
      <w:bookmarkEnd w:id="4"/>
      <w:r w:rsidRPr="00661E14">
        <w:t>Unit Sector</w:t>
      </w:r>
    </w:p>
    <w:p w:rsidR="00000000" w:rsidRPr="00661E14" w:rsidP="00845FCF">
      <w:pPr>
        <w:pStyle w:val="BodyText"/>
      </w:pPr>
      <w:r w:rsidRPr="00661E14">
        <w:t>Steward (STD)</w:t>
      </w:r>
    </w:p>
    <w:p w:rsidR="00000000" w:rsidRPr="00661E14" w:rsidP="00661E14">
      <w:pPr>
        <w:pStyle w:val="Heading1"/>
      </w:pPr>
      <w:bookmarkStart w:id="5" w:name="O_978162"/>
      <w:bookmarkEnd w:id="5"/>
      <w:r w:rsidRPr="00661E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5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rPr>
                <w:rStyle w:val="SpecialBold"/>
              </w:rPr>
              <w:t>Performance Criteria</w:t>
            </w:r>
          </w:p>
        </w:tc>
      </w:tr>
      <w:tr w:rsidTr="00845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5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1. Read and interpret wagering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t>1.1 Interpret industry terminology, abbreviations and acronyms used in wagering</w:t>
            </w:r>
          </w:p>
          <w:p w:rsidR="00000000" w:rsidRPr="00661E14" w:rsidP="00661E14">
            <w:pPr>
              <w:pStyle w:val="BodyText"/>
            </w:pPr>
            <w:r w:rsidRPr="00661E14">
              <w:t>1.2 Recognise different types of bet</w:t>
            </w:r>
            <w:r w:rsidRPr="00661E14">
              <w:t>s available for relevant racing code</w:t>
            </w:r>
          </w:p>
          <w:p w:rsidR="00000000" w:rsidRPr="00661E14" w:rsidP="00661E14">
            <w:pPr>
              <w:pStyle w:val="BodyText"/>
            </w:pPr>
            <w:r w:rsidRPr="00661E14">
              <w:t>1.3 Interpret rules of racing related to bookmakers, bookmakers</w:t>
            </w:r>
            <w:r>
              <w:t>’</w:t>
            </w:r>
            <w:r w:rsidRPr="00661E14">
              <w:t xml:space="preserve"> clerks and other licensed and registered personnel, including owners</w:t>
            </w:r>
          </w:p>
          <w:p w:rsidR="00000000" w:rsidRPr="00661E14" w:rsidP="00661E14">
            <w:pPr>
              <w:pStyle w:val="BodyText"/>
            </w:pPr>
            <w:r w:rsidRPr="00661E14">
              <w:t>1.4 Interpret bookmakers</w:t>
            </w:r>
            <w:r>
              <w:t>’</w:t>
            </w:r>
            <w:r w:rsidRPr="00661E14">
              <w:t xml:space="preserve"> ledgers</w:t>
            </w:r>
          </w:p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 xml:space="preserve">1.5 Interpret information provided on totalisators </w:t>
            </w:r>
            <w:r w:rsidRPr="00661E14">
              <w:t>and other betting or form analysis systems</w:t>
            </w:r>
          </w:p>
        </w:tc>
      </w:tr>
      <w:tr w:rsidTr="00845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2. Monitor wagering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t>2.1 Monitor on-course and totalisator wagering trends to determine patterns</w:t>
            </w:r>
          </w:p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2.2 Monitor off-course e-betting system wagers to understand trends</w:t>
            </w:r>
          </w:p>
        </w:tc>
      </w:tr>
      <w:tr w:rsidTr="00845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3. Relate odds offered to current form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t>3.1 Review speed maps and predicted form of greyhounds or horses</w:t>
            </w:r>
          </w:p>
          <w:p w:rsidR="00000000" w:rsidRPr="00661E14" w:rsidP="00661E14">
            <w:pPr>
              <w:pStyle w:val="BodyText"/>
            </w:pPr>
            <w:r w:rsidRPr="00661E14">
              <w:t>3.2 Compare the odds offered by a range of sources to predicted form</w:t>
            </w:r>
          </w:p>
          <w:p w:rsidR="00000000" w:rsidRPr="00661E14" w:rsidP="00661E14">
            <w:pPr>
              <w:pStyle w:val="BodyText"/>
            </w:pPr>
            <w:r w:rsidRPr="00661E14">
              <w:t>3.3 Assess race performance against wagers made and reported</w:t>
            </w:r>
          </w:p>
          <w:p w:rsidR="00000000" w:rsidRPr="00661E14" w:rsidP="00661E14">
            <w:pPr>
              <w:pStyle w:val="BodyText"/>
            </w:pPr>
            <w:r w:rsidRPr="00661E14">
              <w:t>3.4 Report on fluctuations and anomalies according to PRA pro</w:t>
            </w:r>
            <w:r w:rsidRPr="00661E14">
              <w:t xml:space="preserve">cedures </w:t>
            </w:r>
          </w:p>
        </w:tc>
      </w:tr>
    </w:tbl>
    <w:p w:rsidR="00845FCF" w:rsidP="00661E14">
      <w:pPr>
        <w:pStyle w:val="BodyText"/>
      </w:pPr>
    </w:p>
    <w:p w:rsidR="00845FCF" w:rsidP="00661E14">
      <w:pPr>
        <w:pStyle w:val="BodyText"/>
      </w:pPr>
    </w:p>
    <w:p w:rsidR="00000000" w:rsidRPr="00661E14" w:rsidP="00661E14">
      <w:pPr>
        <w:pStyle w:val="Heading1"/>
      </w:pPr>
      <w:bookmarkStart w:id="6" w:name="O_978161"/>
      <w:bookmarkEnd w:id="6"/>
      <w:r w:rsidRPr="00661E14">
        <w:t>Foundation Skills</w:t>
      </w:r>
    </w:p>
    <w:p w:rsidR="00000000" w:rsidRPr="00845FCF" w:rsidP="00845FCF">
      <w:pPr>
        <w:pStyle w:val="BodyText"/>
        <w:rPr>
          <w:i/>
        </w:rPr>
      </w:pPr>
      <w:r w:rsidRPr="00845FC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rPr>
                <w:rStyle w:val="SpecialBold"/>
              </w:rPr>
              <w:t>Description</w:t>
            </w:r>
          </w:p>
        </w:tc>
      </w:tr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ListBullet"/>
              <w:rPr>
                <w:lang w:val="en-NZ"/>
              </w:rPr>
            </w:pPr>
            <w:r w:rsidRPr="00661E14">
              <w:t>Analyse key information in wagering documentation and consolidate information to determine trends and patterns</w:t>
            </w:r>
          </w:p>
        </w:tc>
      </w:tr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ListBullet"/>
              <w:rPr>
                <w:lang w:val="en-NZ"/>
              </w:rPr>
            </w:pPr>
            <w:r w:rsidRPr="00661E14">
              <w:t>Accurately record and complete workplace documentation, and compile reports using clear language and terminology</w:t>
            </w:r>
          </w:p>
        </w:tc>
      </w:tr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ListBullet"/>
              <w:rPr>
                <w:lang w:val="en-NZ"/>
              </w:rPr>
            </w:pPr>
            <w:r w:rsidRPr="00661E14">
              <w:t>Perform mathematical calculations to interpret complex wagering information</w:t>
            </w:r>
          </w:p>
        </w:tc>
      </w:tr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ListBullet"/>
              <w:rPr>
                <w:lang w:val="en-NZ"/>
              </w:rPr>
            </w:pPr>
            <w:r w:rsidRPr="00661E14">
              <w:t>Report to racing officials in a clear and concise manner on wagering performance</w:t>
            </w:r>
          </w:p>
        </w:tc>
      </w:tr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ListBullet"/>
              <w:rPr>
                <w:lang w:val="en-NZ"/>
              </w:rPr>
            </w:pPr>
            <w:r w:rsidRPr="00661E14">
              <w:t>Take full responsibility for following policies</w:t>
            </w:r>
            <w:r w:rsidRPr="00661E14">
              <w:t>, procedures and legislative requirements relating to integrity in racing relevant to own job role</w:t>
            </w:r>
          </w:p>
        </w:tc>
      </w:tr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ListBullet"/>
            </w:pPr>
            <w:r w:rsidRPr="00661E14">
              <w:t>Use the main features and functions of digital tools to complete work tasks and access information on wagering and performance</w:t>
            </w:r>
          </w:p>
        </w:tc>
      </w:tr>
    </w:tbl>
    <w:p w:rsidR="00845FCF" w:rsidP="00661E14">
      <w:pPr>
        <w:pStyle w:val="BodyText"/>
      </w:pPr>
    </w:p>
    <w:p w:rsidR="00845FCF" w:rsidP="00661E14">
      <w:pPr>
        <w:pStyle w:val="BodyText"/>
      </w:pPr>
    </w:p>
    <w:p w:rsidR="00000000" w:rsidRPr="00661E14" w:rsidP="00661E14">
      <w:pPr>
        <w:pStyle w:val="Heading1"/>
      </w:pPr>
      <w:bookmarkStart w:id="7" w:name="O_978160"/>
      <w:bookmarkEnd w:id="7"/>
      <w:r w:rsidRPr="00661E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rPr>
                <w:rStyle w:val="SpecialBold"/>
              </w:rPr>
              <w:t>Equivalence status</w:t>
            </w:r>
          </w:p>
        </w:tc>
      </w:tr>
      <w:tr w:rsidTr="00661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RGRSTD302 Interpret wagering trends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RGRSTD302A Interpret wagering trends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t>Updated to meet Standards for Training Packages.</w:t>
            </w:r>
          </w:p>
          <w:p w:rsidR="00000000" w:rsidP="00661E14">
            <w:pPr>
              <w:pStyle w:val="BodyText"/>
              <w:rPr>
                <w:lang w:val="en-NZ"/>
              </w:rPr>
            </w:pPr>
            <w:r w:rsidRPr="00661E14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E14" w:rsidP="00661E14">
            <w:pPr>
              <w:pStyle w:val="BodyText"/>
            </w:pPr>
            <w:r w:rsidRPr="00661E14">
              <w:t>Equivalent unit</w:t>
            </w:r>
          </w:p>
        </w:tc>
      </w:tr>
    </w:tbl>
    <w:p w:rsidR="00000000" w:rsidRPr="00661E14" w:rsidP="00661E14">
      <w:pPr>
        <w:pStyle w:val="BodyText"/>
      </w:pPr>
    </w:p>
    <w:p w:rsidR="00000000" w:rsidRPr="00661E14" w:rsidP="00661E14">
      <w:pPr>
        <w:pStyle w:val="AllowPageBreak"/>
      </w:pPr>
    </w:p>
    <w:p w:rsidR="00000000" w:rsidRPr="00661E14" w:rsidP="00661E14">
      <w:pPr>
        <w:pStyle w:val="Heading1"/>
      </w:pPr>
      <w:bookmarkStart w:id="8" w:name="O_978153"/>
      <w:bookmarkEnd w:id="8"/>
      <w:r w:rsidRPr="00661E14">
        <w:t>Links</w:t>
      </w:r>
    </w:p>
    <w:p w:rsidR="00000000" w:rsidRPr="00661E14" w:rsidP="00845FCF">
      <w:pPr>
        <w:pStyle w:val="BodyText"/>
      </w:pPr>
      <w:r w:rsidRPr="00661E1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9628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61E14" w:rsidP="00661E14"/>
    <w:sectPr w:rsidSect="00661E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14" w:rsidRPr="00845FCF" w:rsidP="00845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CF" w:rsidP="00661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FCF" w:rsidP="00661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5FCF" w:rsidP="00661E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E14" w:rsidRPr="00845FCF" w:rsidP="00845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CF" w:rsidRPr="002D2AF8" w:rsidP="00661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RGRSTD302 Interpret wagering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45FCF" w:rsidP="00661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85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BE53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E14"/>
  </w:style>
  <w:style w:type="character" w:customStyle="1" w:styleId="Heading1Char">
    <w:name w:val="Heading 1 Char"/>
    <w:basedOn w:val="DefaultParagraphFont"/>
    <w:link w:val="Heading1"/>
    <w:rsid w:val="00661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E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E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E14"/>
    <w:rPr>
      <w:b/>
      <w:spacing w:val="0"/>
    </w:rPr>
  </w:style>
  <w:style w:type="character" w:styleId="Emphasis">
    <w:name w:val="Emphasis"/>
    <w:basedOn w:val="DefaultParagraphFont"/>
    <w:qFormat/>
    <w:rsid w:val="00661E14"/>
    <w:rPr>
      <w:i/>
    </w:rPr>
  </w:style>
  <w:style w:type="paragraph" w:customStyle="1" w:styleId="SuperHeading">
    <w:name w:val="SuperHeading"/>
    <w:basedOn w:val="Normal"/>
    <w:rsid w:val="00661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E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E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E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1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E14"/>
  </w:style>
  <w:style w:type="paragraph" w:styleId="TableofFigures">
    <w:name w:val="table of figures"/>
    <w:basedOn w:val="Normal"/>
    <w:next w:val="Normal"/>
    <w:semiHidden/>
    <w:rsid w:val="00661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E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1E14"/>
    <w:rPr>
      <w:rFonts w:ascii="Wingdings" w:hAnsi="Wingdings"/>
    </w:rPr>
  </w:style>
  <w:style w:type="paragraph" w:customStyle="1" w:styleId="TableHeading">
    <w:name w:val="Table Heading"/>
    <w:basedOn w:val="HeadingBase"/>
    <w:rsid w:val="00661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E14"/>
    <w:rPr>
      <w:color w:val="0033CC"/>
      <w:u w:val="none"/>
    </w:rPr>
  </w:style>
  <w:style w:type="paragraph" w:customStyle="1" w:styleId="BodyTextRight">
    <w:name w:val="Body Text Right"/>
    <w:basedOn w:val="BodyText"/>
    <w:rsid w:val="00661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E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E14"/>
    <w:rPr>
      <w:sz w:val="32"/>
    </w:rPr>
  </w:style>
  <w:style w:type="paragraph" w:customStyle="1" w:styleId="HeadingProcedure">
    <w:name w:val="Heading Procedure"/>
    <w:basedOn w:val="HeadingBase"/>
    <w:next w:val="Normal"/>
    <w:rsid w:val="00661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E14"/>
    <w:pPr>
      <w:spacing w:before="60" w:after="60"/>
    </w:pPr>
  </w:style>
  <w:style w:type="paragraph" w:styleId="ListContinue">
    <w:name w:val="List Continue"/>
    <w:basedOn w:val="List"/>
    <w:rsid w:val="00661E14"/>
    <w:pPr>
      <w:ind w:firstLine="0"/>
    </w:pPr>
  </w:style>
  <w:style w:type="paragraph" w:customStyle="1" w:styleId="ListNote">
    <w:name w:val="List Note"/>
    <w:basedOn w:val="List"/>
    <w:rsid w:val="00661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E14"/>
    <w:rPr>
      <w:rFonts w:ascii="Courier New" w:hAnsi="Courier New"/>
    </w:rPr>
  </w:style>
  <w:style w:type="paragraph" w:customStyle="1" w:styleId="NoteBullet">
    <w:name w:val="Note Bullet"/>
    <w:basedOn w:val="Note"/>
    <w:rsid w:val="00661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E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1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E14"/>
    <w:rPr>
      <w:b/>
      <w:smallCaps/>
    </w:rPr>
  </w:style>
  <w:style w:type="paragraph" w:customStyle="1" w:styleId="TableListNumber">
    <w:name w:val="Table List Number"/>
    <w:basedOn w:val="ListNumber"/>
    <w:rsid w:val="00661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E14"/>
    <w:pPr>
      <w:numPr>
        <w:numId w:val="8"/>
      </w:numPr>
    </w:pPr>
  </w:style>
  <w:style w:type="paragraph" w:customStyle="1" w:styleId="ListAlpha2">
    <w:name w:val="List Alpha 2"/>
    <w:basedOn w:val="List2"/>
    <w:rsid w:val="00661E14"/>
    <w:pPr>
      <w:numPr>
        <w:numId w:val="7"/>
      </w:numPr>
    </w:pPr>
  </w:style>
  <w:style w:type="paragraph" w:styleId="List2">
    <w:name w:val="List 2"/>
    <w:basedOn w:val="BodyText"/>
    <w:rsid w:val="00661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E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E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1E14"/>
    <w:pPr>
      <w:numPr>
        <w:numId w:val="3"/>
      </w:numPr>
    </w:pPr>
  </w:style>
  <w:style w:type="paragraph" w:styleId="ListContinue2">
    <w:name w:val="List Continue 2"/>
    <w:basedOn w:val="List2"/>
    <w:rsid w:val="00661E14"/>
    <w:pPr>
      <w:ind w:firstLine="0"/>
    </w:pPr>
  </w:style>
  <w:style w:type="paragraph" w:styleId="ListContinue3">
    <w:name w:val="List Continue 3"/>
    <w:basedOn w:val="List3"/>
    <w:rsid w:val="00661E14"/>
    <w:pPr>
      <w:ind w:left="1021" w:firstLine="0"/>
    </w:pPr>
  </w:style>
  <w:style w:type="paragraph" w:styleId="ListContinue4">
    <w:name w:val="List Continue 4"/>
    <w:basedOn w:val="List4"/>
    <w:rsid w:val="00661E14"/>
    <w:pPr>
      <w:ind w:firstLine="0"/>
    </w:pPr>
  </w:style>
  <w:style w:type="paragraph" w:styleId="ListContinue5">
    <w:name w:val="List Continue 5"/>
    <w:basedOn w:val="List5"/>
    <w:rsid w:val="00661E14"/>
    <w:pPr>
      <w:ind w:firstLine="0"/>
    </w:pPr>
  </w:style>
  <w:style w:type="paragraph" w:styleId="ListNumber3">
    <w:name w:val="List Number 3"/>
    <w:basedOn w:val="List3"/>
    <w:rsid w:val="00661E14"/>
    <w:pPr>
      <w:numPr>
        <w:numId w:val="4"/>
      </w:numPr>
    </w:pPr>
  </w:style>
  <w:style w:type="paragraph" w:styleId="ListNumber4">
    <w:name w:val="List Number 4"/>
    <w:basedOn w:val="List4"/>
    <w:rsid w:val="00661E14"/>
    <w:pPr>
      <w:numPr>
        <w:numId w:val="5"/>
      </w:numPr>
    </w:pPr>
  </w:style>
  <w:style w:type="paragraph" w:styleId="ListNumber5">
    <w:name w:val="List Number 5"/>
    <w:basedOn w:val="List5"/>
    <w:rsid w:val="00661E14"/>
    <w:pPr>
      <w:numPr>
        <w:numId w:val="6"/>
      </w:numPr>
    </w:pPr>
  </w:style>
  <w:style w:type="paragraph" w:styleId="BlockText">
    <w:name w:val="Block Text"/>
    <w:basedOn w:val="Normal"/>
    <w:rsid w:val="00661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E14"/>
    <w:rPr>
      <w:sz w:val="16"/>
      <w:vertAlign w:val="superscript"/>
    </w:rPr>
  </w:style>
  <w:style w:type="character" w:customStyle="1" w:styleId="Symbols">
    <w:name w:val="Symbols"/>
    <w:basedOn w:val="DefaultParagraphFont"/>
    <w:rsid w:val="00661E14"/>
    <w:rPr>
      <w:rFonts w:ascii="Symbol" w:hAnsi="Symbol"/>
    </w:rPr>
  </w:style>
  <w:style w:type="character" w:customStyle="1" w:styleId="MenuOptions">
    <w:name w:val="Menu Options"/>
    <w:basedOn w:val="DefaultParagraphFont"/>
    <w:rsid w:val="00661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E14"/>
    <w:rPr>
      <w:b/>
    </w:rPr>
  </w:style>
  <w:style w:type="character" w:customStyle="1" w:styleId="Underlined">
    <w:name w:val="Underlined"/>
    <w:basedOn w:val="DefaultParagraphFont"/>
    <w:rsid w:val="00661E14"/>
    <w:rPr>
      <w:u w:val="single"/>
    </w:rPr>
  </w:style>
  <w:style w:type="paragraph" w:customStyle="1" w:styleId="TableBodyTextRight">
    <w:name w:val="Table Body Text Right"/>
    <w:basedOn w:val="TableBodyText"/>
    <w:rsid w:val="00661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E14"/>
    <w:rPr>
      <w:sz w:val="18"/>
    </w:rPr>
  </w:style>
  <w:style w:type="paragraph" w:customStyle="1" w:styleId="BodySmallRight">
    <w:name w:val="Body Small Right"/>
    <w:basedOn w:val="BodyTextRight"/>
    <w:rsid w:val="00661E14"/>
    <w:rPr>
      <w:sz w:val="18"/>
      <w:szCs w:val="18"/>
    </w:rPr>
  </w:style>
  <w:style w:type="paragraph" w:customStyle="1" w:styleId="MarginEdition">
    <w:name w:val="Margin Edition"/>
    <w:basedOn w:val="MarginNote"/>
    <w:rsid w:val="00661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E14"/>
    <w:rPr>
      <w:sz w:val="2"/>
      <w:szCs w:val="2"/>
    </w:rPr>
  </w:style>
  <w:style w:type="character" w:customStyle="1" w:styleId="Small">
    <w:name w:val="Small"/>
    <w:basedOn w:val="DefaultParagraphFont"/>
    <w:rsid w:val="00661E14"/>
    <w:rPr>
      <w:sz w:val="16"/>
    </w:rPr>
  </w:style>
  <w:style w:type="paragraph" w:customStyle="1" w:styleId="WideTable">
    <w:name w:val="Wide Table"/>
    <w:basedOn w:val="Normal"/>
    <w:rsid w:val="00661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E14"/>
  </w:style>
  <w:style w:type="paragraph" w:styleId="Quote">
    <w:name w:val="Quote"/>
    <w:basedOn w:val="Heading1"/>
    <w:link w:val="QuoteChar"/>
    <w:qFormat/>
    <w:rsid w:val="00661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E14"/>
    <w:pPr>
      <w:pageBreakBefore/>
    </w:pPr>
  </w:style>
  <w:style w:type="paragraph" w:customStyle="1" w:styleId="Border">
    <w:name w:val="Border"/>
    <w:basedOn w:val="Normal"/>
    <w:qFormat/>
    <w:rsid w:val="00661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E14"/>
    <w:rPr>
      <w:u w:val="single"/>
    </w:rPr>
  </w:style>
  <w:style w:type="character" w:customStyle="1" w:styleId="BoldandItalics">
    <w:name w:val="Bold and Italics"/>
    <w:qFormat/>
    <w:rsid w:val="00661E14"/>
    <w:rPr>
      <w:b/>
      <w:i/>
      <w:u w:val="none"/>
    </w:rPr>
  </w:style>
  <w:style w:type="paragraph" w:styleId="BalloonText">
    <w:name w:val="Balloon Text"/>
    <w:basedOn w:val="Normal"/>
    <w:link w:val="BalloonTextChar"/>
    <w:rsid w:val="00661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E14"/>
    <w:pPr>
      <w:spacing w:before="0" w:after="0"/>
    </w:pPr>
  </w:style>
  <w:style w:type="paragraph" w:customStyle="1" w:styleId="BodyTextBold">
    <w:name w:val="Body Text Bold"/>
    <w:basedOn w:val="BodyText"/>
    <w:qFormat/>
    <w:rsid w:val="00661E14"/>
    <w:rPr>
      <w:b/>
    </w:rPr>
  </w:style>
  <w:style w:type="character" w:styleId="Hyperlink">
    <w:name w:val="Hyperlink"/>
    <w:basedOn w:val="DefaultParagraphFont"/>
    <w:uiPriority w:val="99"/>
    <w:unhideWhenUsed/>
    <w:rsid w:val="00845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3356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RGRSTD302 Interpret wagering trends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