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A39" w:rsidP="00A91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RGRPSG409 Assess greyhound structural and functional suitability for racing</w:t>
      </w:r>
      <w:r>
        <w:fldChar w:fldCharType="end"/>
      </w:r>
    </w:p>
    <w:p w:rsidR="00A91A39" w:rsidP="00A91A39">
      <w:pPr>
        <w:pStyle w:val="Version"/>
        <w:sectPr w:rsidSect="00AA10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00B" w:rsidP="00AA100B">
      <w:pPr>
        <w:pStyle w:val="SuperHeading"/>
      </w:pPr>
      <w:r w:rsidRPr="00AA100B">
        <w:t>RGRPSG409 Assess greyhound structural and functional suitability for racing</w:t>
      </w:r>
    </w:p>
    <w:p w:rsidR="00000000" w:rsidRPr="00AA100B" w:rsidP="00AA100B">
      <w:pPr>
        <w:pStyle w:val="Heading1"/>
      </w:pPr>
      <w:bookmarkStart w:id="1" w:name="O_1047491"/>
      <w:bookmarkEnd w:id="1"/>
      <w:r w:rsidRPr="00AA10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Comments</w:t>
            </w:r>
          </w:p>
        </w:tc>
      </w:tr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t>This version released with RGR Racing and Breeding Training Package Version 3.0.</w:t>
            </w:r>
          </w:p>
        </w:tc>
      </w:tr>
    </w:tbl>
    <w:p w:rsidR="00000000" w:rsidRPr="00AA100B" w:rsidP="00AA100B">
      <w:pPr>
        <w:pStyle w:val="BodyText"/>
      </w:pPr>
    </w:p>
    <w:p w:rsidR="00000000" w:rsidRPr="00AA100B" w:rsidP="00AA100B">
      <w:pPr>
        <w:pStyle w:val="AllowPageBreak"/>
      </w:pPr>
    </w:p>
    <w:p w:rsidR="00000000" w:rsidRPr="00AA100B" w:rsidP="00AA100B">
      <w:pPr>
        <w:pStyle w:val="Heading1"/>
      </w:pPr>
      <w:bookmarkStart w:id="2" w:name="O_1047492"/>
      <w:bookmarkEnd w:id="2"/>
      <w:r w:rsidRPr="00AA100B">
        <w:t>Application</w:t>
      </w:r>
    </w:p>
    <w:p w:rsidR="00000000" w:rsidRPr="00AA100B" w:rsidP="00A91A39">
      <w:pPr>
        <w:pStyle w:val="BodyText"/>
      </w:pPr>
      <w:r w:rsidRPr="00AA100B">
        <w:t>This unit of competency describes the skills and knowledge required to conduct a physical examination of greyhounds to assess their structural and functional suitability for racing.</w:t>
      </w:r>
    </w:p>
    <w:p w:rsidR="00000000" w:rsidRPr="00AA100B" w:rsidP="00A91A39">
      <w:pPr>
        <w:pStyle w:val="BodyText"/>
      </w:pPr>
      <w:r w:rsidRPr="00AA100B">
        <w:t>The unit applies to individuals who work with greyhound owners</w:t>
      </w:r>
      <w:r w:rsidRPr="00AA100B">
        <w:t xml:space="preserve">, trainers and veterinarians to assist with optimising the health of racing greyhounds. </w:t>
      </w:r>
    </w:p>
    <w:p w:rsidR="00000000" w:rsidRPr="00AA100B" w:rsidP="00A91A39">
      <w:pPr>
        <w:pStyle w:val="BodyText"/>
      </w:pPr>
      <w:r w:rsidRPr="00AA100B">
        <w:t>All work must be carried out to comply with workplace procedures, according to state/territory animal welfare and health and safety regulations, legislation, state-bas</w:t>
      </w:r>
      <w:r w:rsidRPr="00AA100B">
        <w:t xml:space="preserve">ed licensing arrangements and standards that apply to the workplace. </w:t>
      </w:r>
    </w:p>
    <w:p w:rsidR="00000000" w:rsidRPr="00AA100B" w:rsidP="00A91A39">
      <w:pPr>
        <w:pStyle w:val="BodyText"/>
      </w:pPr>
      <w:r w:rsidRPr="00AA100B">
        <w:t>No licensing, legislative or certification requirements apply to this unit at the time of publication.</w:t>
      </w:r>
    </w:p>
    <w:p w:rsidR="00000000" w:rsidRPr="00AA100B" w:rsidP="00AA100B">
      <w:pPr>
        <w:pStyle w:val="Heading1"/>
      </w:pPr>
      <w:bookmarkStart w:id="3" w:name="O_1047493"/>
      <w:bookmarkEnd w:id="3"/>
      <w:r w:rsidRPr="00AA100B">
        <w:t>Pre-requisite Unit</w:t>
      </w:r>
    </w:p>
    <w:p w:rsidR="00000000" w:rsidRPr="00AA100B" w:rsidP="00A91A39">
      <w:pPr>
        <w:pStyle w:val="BodyText"/>
      </w:pPr>
      <w:r w:rsidRPr="00AA100B">
        <w:t>The prerequisite units of competency for this</w:t>
      </w:r>
      <w:r w:rsidRPr="00AA100B">
        <w:t xml:space="preserve"> unit are:</w:t>
      </w:r>
    </w:p>
    <w:p w:rsidR="00000000" w:rsidRPr="00AA100B" w:rsidP="00AA100B">
      <w:pPr>
        <w:pStyle w:val="ListBullet"/>
      </w:pPr>
      <w:r w:rsidRPr="00AA100B">
        <w:t>RGRPSG201 Handle greyhounds</w:t>
      </w:r>
    </w:p>
    <w:p w:rsidR="00000000" w:rsidRPr="00AA100B" w:rsidP="00AA100B">
      <w:pPr>
        <w:pStyle w:val="ListBullet"/>
      </w:pPr>
      <w:r w:rsidRPr="00AA100B">
        <w:t>RGRPSG408 Relate musculoskeletal structure to greyhound movement.</w:t>
      </w:r>
    </w:p>
    <w:p w:rsidR="00000000" w:rsidRPr="00AA100B" w:rsidP="00AA100B">
      <w:pPr>
        <w:pStyle w:val="AllowPageBreak"/>
      </w:pPr>
    </w:p>
    <w:p w:rsidR="00000000" w:rsidRPr="00AA100B" w:rsidP="00AA100B">
      <w:pPr>
        <w:pStyle w:val="Heading1"/>
      </w:pPr>
      <w:bookmarkStart w:id="4" w:name="O_1047495"/>
      <w:bookmarkEnd w:id="4"/>
      <w:r w:rsidRPr="00AA100B">
        <w:t>Unit Sector</w:t>
      </w:r>
    </w:p>
    <w:p w:rsidR="00000000" w:rsidRPr="00AA100B" w:rsidP="00A91A39">
      <w:pPr>
        <w:pStyle w:val="BodyText"/>
      </w:pPr>
      <w:r w:rsidRPr="00AA100B">
        <w:t>Performance Services Greyhounds (PSG)</w:t>
      </w:r>
    </w:p>
    <w:p w:rsidR="00000000" w:rsidRPr="00AA100B" w:rsidP="00AA100B">
      <w:pPr>
        <w:pStyle w:val="Heading1"/>
      </w:pPr>
      <w:bookmarkStart w:id="5" w:name="O_1047496"/>
      <w:bookmarkEnd w:id="5"/>
      <w:r w:rsidRPr="00AA10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9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Performance Criteria</w:t>
            </w:r>
          </w:p>
        </w:tc>
      </w:tr>
      <w:tr w:rsidTr="00A9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 xml:space="preserve">1. Prepare for greyhound </w:t>
            </w:r>
            <w:r w:rsidRPr="00AA100B">
              <w:t xml:space="preserve">examination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t>1.1 Assess the potential risks to health and safety w</w:t>
            </w:r>
            <w:r w:rsidRPr="00AA100B">
              <w:t xml:space="preserve">hen working with </w:t>
            </w:r>
            <w:r w:rsidRPr="00AA100B">
              <w:t xml:space="preserve">greyhounds </w:t>
            </w:r>
          </w:p>
          <w:p w:rsidR="00000000" w:rsidRPr="00AA100B" w:rsidP="00AA100B">
            <w:pPr>
              <w:pStyle w:val="BodyText"/>
            </w:pPr>
            <w:r w:rsidRPr="00AA100B">
              <w:t>1.2 Obtain background information from owner and/or trainer on greyhound racing performance to assist with identifying common injuries</w:t>
            </w:r>
          </w:p>
          <w:p w:rsidR="00000000" w:rsidRPr="00AA100B" w:rsidP="00AA100B">
            <w:pPr>
              <w:pStyle w:val="BodyText"/>
            </w:pPr>
            <w:r w:rsidRPr="00AA100B">
              <w:t>1.3 Prepare a safe and controlled environment to conduct the examination</w:t>
            </w:r>
          </w:p>
          <w:p w:rsidR="00000000" w:rsidRPr="00AA100B" w:rsidP="00AA100B">
            <w:pPr>
              <w:pStyle w:val="BodyText"/>
            </w:pPr>
            <w:r w:rsidRPr="00AA100B">
              <w:t>1.4 Handle and cont</w:t>
            </w:r>
            <w:r w:rsidRPr="00AA100B">
              <w:t xml:space="preserve">rol the greyhound to minimise the risk to self, others and the greyhound </w:t>
            </w:r>
          </w:p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1.5 Recognise greyhound behaviour that indicates that an activity should be discontinued</w:t>
            </w:r>
          </w:p>
        </w:tc>
      </w:tr>
      <w:tr w:rsidTr="00A9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2. Conduct physical examination for musculoskeletal dysfunction or injury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t>2.1 Assess gait, a</w:t>
            </w:r>
            <w:r w:rsidRPr="00AA100B">
              <w:t xml:space="preserve">nd check mobility of major joints and limbs using flexing and extension techniques </w:t>
            </w:r>
          </w:p>
          <w:p w:rsidR="00000000" w:rsidRPr="00AA100B" w:rsidP="00AA100B">
            <w:pPr>
              <w:pStyle w:val="BodyText"/>
            </w:pPr>
            <w:r w:rsidRPr="00AA100B">
              <w:t xml:space="preserve">2.2 Examine the spinal column, applying gentle palpation techniques </w:t>
            </w:r>
          </w:p>
          <w:p w:rsidR="00000000" w:rsidRPr="00AA100B" w:rsidP="00AA100B">
            <w:pPr>
              <w:pStyle w:val="BodyText"/>
            </w:pPr>
            <w:r w:rsidRPr="00AA100B">
              <w:t xml:space="preserve">2.3 Examine lower limbs to detect abnormalities </w:t>
            </w:r>
          </w:p>
          <w:p w:rsidR="00000000" w:rsidRPr="00AA100B" w:rsidP="00AA100B">
            <w:pPr>
              <w:pStyle w:val="BodyText"/>
            </w:pPr>
            <w:r w:rsidRPr="00AA100B">
              <w:t>2.4 Assess common sites for torn muscles in racing gre</w:t>
            </w:r>
            <w:r w:rsidRPr="00AA100B">
              <w:t>yhounds to detect injuries</w:t>
            </w:r>
          </w:p>
          <w:p w:rsidR="00000000" w:rsidRPr="00AA100B" w:rsidP="00AA100B">
            <w:pPr>
              <w:pStyle w:val="BodyText"/>
            </w:pPr>
            <w:r w:rsidRPr="00AA100B">
              <w:t xml:space="preserve">2.5 Recognise signs indicating whether injury or dysfunction is acute or chronic </w:t>
            </w:r>
          </w:p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2.6 Monitor the greyhound for signs of pain, distress or alarm, and respond appropriately</w:t>
            </w:r>
          </w:p>
        </w:tc>
      </w:tr>
      <w:tr w:rsidTr="00A9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3. Provide options for detected musculoskeletal dysfunct</w:t>
            </w:r>
            <w:r w:rsidRPr="00AA100B">
              <w:t>ion or injury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t xml:space="preserve">3.1 Identify abnormalities and discuss examination findings with owner and/or trainer </w:t>
            </w:r>
          </w:p>
          <w:p w:rsidR="00000000" w:rsidRPr="00AA100B" w:rsidP="00AA100B">
            <w:pPr>
              <w:pStyle w:val="BodyText"/>
            </w:pPr>
            <w:r w:rsidRPr="00AA100B">
              <w:t xml:space="preserve">3.2 Refer greyhounds with major dysfunction and injuries to registered veterinarian for clinical examination </w:t>
            </w:r>
          </w:p>
          <w:p w:rsidR="00000000" w:rsidRPr="00AA100B" w:rsidP="00AA100B">
            <w:pPr>
              <w:pStyle w:val="BodyText"/>
            </w:pPr>
            <w:r w:rsidRPr="00AA100B">
              <w:t>3.3 Provide options for non-invasive treatment for minor dysfunction and injuries, with greyhound owner and/or trainer and in consultation with veterinarians</w:t>
            </w:r>
          </w:p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3.4 Advise on strategies to avoid injury, and on recovery or stand down times for relevant injurie</w:t>
            </w:r>
            <w:r w:rsidRPr="00AA100B">
              <w:t>s, in consultation with veterinarians, owners and trainers</w:t>
            </w:r>
          </w:p>
        </w:tc>
      </w:tr>
      <w:tr w:rsidTr="00A91A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4.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t>4.1 Record examination notes and treatment plan for individual greyhound</w:t>
            </w:r>
          </w:p>
          <w:p w:rsidR="00000000" w:rsidRPr="00AA100B" w:rsidP="00AA100B">
            <w:pPr>
              <w:pStyle w:val="BodyText"/>
            </w:pPr>
            <w:r w:rsidRPr="00AA100B">
              <w:t>4.2 Provide records to owner and/or trainer, and to the referring veterinarian as requested</w:t>
            </w:r>
          </w:p>
          <w:p w:rsidR="00000000" w:rsidRPr="00AA100B" w:rsidP="00AA100B">
            <w:pPr>
              <w:pStyle w:val="BodyText"/>
            </w:pPr>
            <w:r w:rsidRPr="00AA100B">
              <w:t>4.3 File an</w:t>
            </w:r>
            <w:r w:rsidRPr="00AA100B">
              <w:t>d store records, ensuring they can be retrieved when required</w:t>
            </w:r>
          </w:p>
        </w:tc>
      </w:tr>
    </w:tbl>
    <w:p w:rsidR="00000000" w:rsidRPr="00AA100B" w:rsidP="00AA100B">
      <w:pPr>
        <w:pStyle w:val="BodyText"/>
      </w:pPr>
    </w:p>
    <w:p w:rsidR="00000000" w:rsidRPr="00AA100B" w:rsidP="00AA100B">
      <w:pPr>
        <w:pStyle w:val="AllowPageBreak"/>
      </w:pPr>
    </w:p>
    <w:p w:rsidR="00000000" w:rsidRPr="00AA100B" w:rsidP="00AA100B">
      <w:pPr>
        <w:pStyle w:val="Heading1"/>
      </w:pPr>
      <w:bookmarkStart w:id="6" w:name="O_1047497"/>
      <w:bookmarkEnd w:id="6"/>
      <w:r w:rsidRPr="00AA100B">
        <w:t>Foundation Skills</w:t>
      </w:r>
    </w:p>
    <w:p w:rsidR="00000000" w:rsidRPr="00A91A39" w:rsidP="00A91A39">
      <w:pPr>
        <w:pStyle w:val="BodyText"/>
        <w:rPr>
          <w:i/>
        </w:rPr>
      </w:pPr>
      <w:r w:rsidRPr="00A91A39">
        <w:rPr>
          <w:rStyle w:val="Emphasis"/>
        </w:rPr>
        <w:t>This section describes those language, literacy, numeracy and employment skills that are essential for performance in this unit of competency but are not e</w:t>
      </w:r>
      <w:r w:rsidRPr="00A91A39">
        <w:rPr>
          <w:rStyle w:val="Emphasis"/>
        </w:rPr>
        <w:t>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Description</w:t>
            </w:r>
          </w:p>
        </w:tc>
      </w:tr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ListBullet"/>
              <w:rPr>
                <w:lang w:val="en-NZ"/>
              </w:rPr>
            </w:pPr>
            <w:r w:rsidRPr="00AA100B">
              <w:t xml:space="preserve">Record information clearly and accurately in treatment plans for internal and external purposes </w:t>
            </w:r>
          </w:p>
        </w:tc>
      </w:tr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ListBullet"/>
              <w:rPr>
                <w:lang w:val="en-NZ"/>
              </w:rPr>
            </w:pPr>
            <w:r w:rsidRPr="00AA100B">
              <w:t>Take responsibility for following regulatory and racing industry requirements relating to health assistant role and scope of practice</w:t>
            </w:r>
          </w:p>
        </w:tc>
      </w:tr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ListBullet"/>
            </w:pPr>
            <w:r w:rsidRPr="00AA100B">
              <w:t>Plan, sequence and prioritise activities to achieve work outcome</w:t>
            </w:r>
          </w:p>
          <w:p w:rsidR="00000000" w:rsidRPr="00AA100B" w:rsidP="00AA100B">
            <w:pPr>
              <w:pStyle w:val="ListBullet"/>
            </w:pPr>
            <w:r w:rsidRPr="00AA100B">
              <w:t>Use common workplace technology to re</w:t>
            </w:r>
            <w:r w:rsidRPr="00AA100B">
              <w:t>cord and convey information</w:t>
            </w:r>
          </w:p>
        </w:tc>
      </w:tr>
    </w:tbl>
    <w:p w:rsidR="00000000" w:rsidRPr="00AA100B" w:rsidP="00AA100B">
      <w:pPr>
        <w:pStyle w:val="BodyText"/>
      </w:pPr>
    </w:p>
    <w:p w:rsidR="00000000" w:rsidRPr="00AA100B" w:rsidP="00AA100B">
      <w:pPr>
        <w:pStyle w:val="AllowPageBreak"/>
      </w:pPr>
    </w:p>
    <w:p w:rsidR="00000000" w:rsidRPr="00AA100B" w:rsidP="00AA100B">
      <w:pPr>
        <w:pStyle w:val="Heading1"/>
      </w:pPr>
      <w:bookmarkStart w:id="7" w:name="O_1047499"/>
      <w:bookmarkEnd w:id="7"/>
      <w:r w:rsidRPr="00AA10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Bold"/>
              <w:rPr>
                <w:lang w:val="en-NZ"/>
              </w:rPr>
            </w:pPr>
            <w:r w:rsidRPr="00AA100B">
              <w:t>Equivalence status</w:t>
            </w:r>
          </w:p>
        </w:tc>
      </w:tr>
      <w:tr w:rsidTr="00AA10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RGRPSG409 Assess greyhound structural and functional suitability for racing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00B">
            <w:pPr>
              <w:pStyle w:val="BodyText"/>
              <w:rPr>
                <w:lang w:val="en-NZ"/>
              </w:rPr>
            </w:pPr>
            <w:r w:rsidRPr="00AA100B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00B" w:rsidP="00AA100B">
            <w:pPr>
              <w:pStyle w:val="BodyText"/>
            </w:pPr>
            <w:r w:rsidRPr="00AA100B">
              <w:t>No equivalent unit</w:t>
            </w:r>
          </w:p>
        </w:tc>
      </w:tr>
    </w:tbl>
    <w:p w:rsidR="00000000" w:rsidRPr="00AA100B" w:rsidP="00AA100B">
      <w:pPr>
        <w:pStyle w:val="BodyText"/>
      </w:pPr>
    </w:p>
    <w:p w:rsidR="00000000" w:rsidRPr="00AA100B" w:rsidP="00AA100B">
      <w:pPr>
        <w:pStyle w:val="AllowPageBreak"/>
      </w:pPr>
    </w:p>
    <w:p w:rsidR="00000000" w:rsidRPr="00AA100B" w:rsidP="00AA100B">
      <w:pPr>
        <w:pStyle w:val="Heading1"/>
      </w:pPr>
      <w:bookmarkStart w:id="8" w:name="O_1047506"/>
      <w:bookmarkEnd w:id="8"/>
      <w:r w:rsidRPr="00AA100B">
        <w:t>Links</w:t>
      </w:r>
    </w:p>
    <w:p w:rsidR="00000000" w:rsidRPr="00AA100B" w:rsidP="00A91A39">
      <w:pPr>
        <w:pStyle w:val="BodyText"/>
      </w:pPr>
      <w:r w:rsidRPr="00AA10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D49C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A100B" w:rsidP="00AA100B"/>
    <w:sectPr w:rsidSect="00AA10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 w:rsidRPr="00A91A39" w:rsidP="00A91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39" w:rsidP="00AA10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A39" w:rsidP="00AA10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91A39" w:rsidP="00AA10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00B" w:rsidRPr="00A91A39" w:rsidP="00A91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39" w:rsidRPr="002D2AF8" w:rsidP="00AA10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RGRPSG409 Assess greyhound structural and functional suitability for racing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A91A39" w:rsidP="00AA10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62D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10B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0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0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0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0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0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0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0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0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0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0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0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00B"/>
  </w:style>
  <w:style w:type="character" w:customStyle="1" w:styleId="Heading1Char">
    <w:name w:val="Heading 1 Char"/>
    <w:basedOn w:val="DefaultParagraphFont"/>
    <w:link w:val="Heading1"/>
    <w:rsid w:val="00AA10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0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0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0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A100B"/>
    <w:rPr>
      <w:i/>
    </w:rPr>
  </w:style>
  <w:style w:type="paragraph" w:customStyle="1" w:styleId="SuperHeading">
    <w:name w:val="SuperHeading"/>
    <w:basedOn w:val="Normal"/>
    <w:rsid w:val="00AA10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0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A100B"/>
    <w:rPr>
      <w:b/>
    </w:rPr>
  </w:style>
  <w:style w:type="character" w:customStyle="1" w:styleId="Heading2Char">
    <w:name w:val="Heading 2 Char"/>
    <w:basedOn w:val="DefaultParagraphFont"/>
    <w:link w:val="Heading2"/>
    <w:rsid w:val="00AA10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0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0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0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0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0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0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0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0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0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0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0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0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0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0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0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0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0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100B"/>
    <w:rPr>
      <w:b/>
      <w:spacing w:val="0"/>
    </w:rPr>
  </w:style>
  <w:style w:type="paragraph" w:customStyle="1" w:styleId="SuperTitle">
    <w:name w:val="SuperTitle"/>
    <w:basedOn w:val="Title"/>
    <w:rsid w:val="00AA10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0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0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0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0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0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0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0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0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0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0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0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0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10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0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0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00B"/>
  </w:style>
  <w:style w:type="paragraph" w:styleId="TableofFigures">
    <w:name w:val="table of figures"/>
    <w:basedOn w:val="Normal"/>
    <w:next w:val="Normal"/>
    <w:semiHidden/>
    <w:rsid w:val="00AA10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0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100B"/>
    <w:rPr>
      <w:rFonts w:ascii="Wingdings" w:hAnsi="Wingdings"/>
    </w:rPr>
  </w:style>
  <w:style w:type="paragraph" w:customStyle="1" w:styleId="TableHeading">
    <w:name w:val="Table Heading"/>
    <w:basedOn w:val="HeadingBase"/>
    <w:rsid w:val="00AA10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00B"/>
    <w:rPr>
      <w:color w:val="0033CC"/>
      <w:u w:val="none"/>
    </w:rPr>
  </w:style>
  <w:style w:type="paragraph" w:customStyle="1" w:styleId="BodyTextRight">
    <w:name w:val="Body Text Right"/>
    <w:basedOn w:val="BodyText"/>
    <w:rsid w:val="00AA10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0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0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0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0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0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00B"/>
    <w:rPr>
      <w:sz w:val="32"/>
    </w:rPr>
  </w:style>
  <w:style w:type="paragraph" w:customStyle="1" w:styleId="HeadingProcedure">
    <w:name w:val="Heading Procedure"/>
    <w:basedOn w:val="HeadingBase"/>
    <w:next w:val="Normal"/>
    <w:rsid w:val="00AA10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00B"/>
    <w:pPr>
      <w:spacing w:before="60" w:after="60"/>
    </w:pPr>
  </w:style>
  <w:style w:type="paragraph" w:styleId="ListContinue">
    <w:name w:val="List Continue"/>
    <w:basedOn w:val="List"/>
    <w:rsid w:val="00AA100B"/>
    <w:pPr>
      <w:ind w:firstLine="0"/>
    </w:pPr>
  </w:style>
  <w:style w:type="paragraph" w:customStyle="1" w:styleId="ListNote">
    <w:name w:val="List Note"/>
    <w:basedOn w:val="List"/>
    <w:rsid w:val="00AA10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0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0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00B"/>
    <w:rPr>
      <w:rFonts w:ascii="Courier New" w:hAnsi="Courier New"/>
    </w:rPr>
  </w:style>
  <w:style w:type="paragraph" w:customStyle="1" w:styleId="NoteBullet">
    <w:name w:val="Note Bullet"/>
    <w:basedOn w:val="Note"/>
    <w:rsid w:val="00AA10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0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0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0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0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10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0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00B"/>
    <w:rPr>
      <w:b/>
      <w:smallCaps/>
    </w:rPr>
  </w:style>
  <w:style w:type="paragraph" w:customStyle="1" w:styleId="TableListNumber">
    <w:name w:val="Table List Number"/>
    <w:basedOn w:val="ListNumber"/>
    <w:rsid w:val="00AA10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0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00B"/>
    <w:pPr>
      <w:numPr>
        <w:numId w:val="8"/>
      </w:numPr>
    </w:pPr>
  </w:style>
  <w:style w:type="paragraph" w:customStyle="1" w:styleId="ListAlpha2">
    <w:name w:val="List Alpha 2"/>
    <w:basedOn w:val="List2"/>
    <w:rsid w:val="00AA100B"/>
    <w:pPr>
      <w:numPr>
        <w:numId w:val="7"/>
      </w:numPr>
    </w:pPr>
  </w:style>
  <w:style w:type="paragraph" w:styleId="List2">
    <w:name w:val="List 2"/>
    <w:basedOn w:val="BodyText"/>
    <w:rsid w:val="00AA10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0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0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0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0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0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100B"/>
    <w:pPr>
      <w:numPr>
        <w:numId w:val="3"/>
      </w:numPr>
    </w:pPr>
  </w:style>
  <w:style w:type="paragraph" w:styleId="ListContinue2">
    <w:name w:val="List Continue 2"/>
    <w:basedOn w:val="List2"/>
    <w:rsid w:val="00AA100B"/>
    <w:pPr>
      <w:ind w:firstLine="0"/>
    </w:pPr>
  </w:style>
  <w:style w:type="paragraph" w:styleId="ListContinue3">
    <w:name w:val="List Continue 3"/>
    <w:basedOn w:val="List3"/>
    <w:rsid w:val="00AA100B"/>
    <w:pPr>
      <w:ind w:left="1021" w:firstLine="0"/>
    </w:pPr>
  </w:style>
  <w:style w:type="paragraph" w:styleId="ListContinue4">
    <w:name w:val="List Continue 4"/>
    <w:basedOn w:val="List4"/>
    <w:rsid w:val="00AA100B"/>
    <w:pPr>
      <w:ind w:firstLine="0"/>
    </w:pPr>
  </w:style>
  <w:style w:type="paragraph" w:styleId="ListContinue5">
    <w:name w:val="List Continue 5"/>
    <w:basedOn w:val="List5"/>
    <w:rsid w:val="00AA100B"/>
    <w:pPr>
      <w:ind w:firstLine="0"/>
    </w:pPr>
  </w:style>
  <w:style w:type="paragraph" w:styleId="ListNumber3">
    <w:name w:val="List Number 3"/>
    <w:basedOn w:val="List3"/>
    <w:rsid w:val="00AA100B"/>
    <w:pPr>
      <w:numPr>
        <w:numId w:val="4"/>
      </w:numPr>
    </w:pPr>
  </w:style>
  <w:style w:type="paragraph" w:styleId="ListNumber4">
    <w:name w:val="List Number 4"/>
    <w:basedOn w:val="List4"/>
    <w:rsid w:val="00AA100B"/>
    <w:pPr>
      <w:numPr>
        <w:numId w:val="5"/>
      </w:numPr>
    </w:pPr>
  </w:style>
  <w:style w:type="paragraph" w:styleId="ListNumber5">
    <w:name w:val="List Number 5"/>
    <w:basedOn w:val="List5"/>
    <w:rsid w:val="00AA100B"/>
    <w:pPr>
      <w:numPr>
        <w:numId w:val="6"/>
      </w:numPr>
    </w:pPr>
  </w:style>
  <w:style w:type="paragraph" w:styleId="BlockText">
    <w:name w:val="Block Text"/>
    <w:basedOn w:val="Normal"/>
    <w:rsid w:val="00AA10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0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00B"/>
    <w:rPr>
      <w:sz w:val="16"/>
      <w:vertAlign w:val="superscript"/>
    </w:rPr>
  </w:style>
  <w:style w:type="character" w:customStyle="1" w:styleId="Symbols">
    <w:name w:val="Symbols"/>
    <w:basedOn w:val="DefaultParagraphFont"/>
    <w:rsid w:val="00AA100B"/>
    <w:rPr>
      <w:rFonts w:ascii="Symbol" w:hAnsi="Symbol"/>
    </w:rPr>
  </w:style>
  <w:style w:type="character" w:customStyle="1" w:styleId="MenuOptions">
    <w:name w:val="Menu Options"/>
    <w:basedOn w:val="DefaultParagraphFont"/>
    <w:rsid w:val="00AA10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00B"/>
    <w:rPr>
      <w:b/>
    </w:rPr>
  </w:style>
  <w:style w:type="character" w:customStyle="1" w:styleId="Underlined">
    <w:name w:val="Underlined"/>
    <w:basedOn w:val="DefaultParagraphFont"/>
    <w:rsid w:val="00AA100B"/>
    <w:rPr>
      <w:u w:val="single"/>
    </w:rPr>
  </w:style>
  <w:style w:type="paragraph" w:customStyle="1" w:styleId="TableBodyTextRight">
    <w:name w:val="Table Body Text Right"/>
    <w:basedOn w:val="TableBodyText"/>
    <w:rsid w:val="00AA10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00B"/>
    <w:rPr>
      <w:sz w:val="18"/>
    </w:rPr>
  </w:style>
  <w:style w:type="paragraph" w:customStyle="1" w:styleId="BodySmallRight">
    <w:name w:val="Body Small Right"/>
    <w:basedOn w:val="BodyTextRight"/>
    <w:rsid w:val="00AA100B"/>
    <w:rPr>
      <w:sz w:val="18"/>
      <w:szCs w:val="18"/>
    </w:rPr>
  </w:style>
  <w:style w:type="paragraph" w:customStyle="1" w:styleId="MarginEdition">
    <w:name w:val="Margin Edition"/>
    <w:basedOn w:val="MarginNote"/>
    <w:rsid w:val="00AA10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00B"/>
    <w:rPr>
      <w:sz w:val="2"/>
      <w:szCs w:val="2"/>
    </w:rPr>
  </w:style>
  <w:style w:type="character" w:customStyle="1" w:styleId="Small">
    <w:name w:val="Small"/>
    <w:basedOn w:val="DefaultParagraphFont"/>
    <w:rsid w:val="00AA100B"/>
    <w:rPr>
      <w:sz w:val="16"/>
    </w:rPr>
  </w:style>
  <w:style w:type="paragraph" w:customStyle="1" w:styleId="WideTable">
    <w:name w:val="Wide Table"/>
    <w:basedOn w:val="Normal"/>
    <w:rsid w:val="00AA10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00B"/>
  </w:style>
  <w:style w:type="paragraph" w:styleId="Quote">
    <w:name w:val="Quote"/>
    <w:basedOn w:val="Heading1"/>
    <w:link w:val="QuoteChar"/>
    <w:qFormat/>
    <w:rsid w:val="00AA10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0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00B"/>
    <w:pPr>
      <w:pageBreakBefore/>
    </w:pPr>
  </w:style>
  <w:style w:type="paragraph" w:customStyle="1" w:styleId="Border">
    <w:name w:val="Border"/>
    <w:basedOn w:val="Normal"/>
    <w:qFormat/>
    <w:rsid w:val="00AA10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0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0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0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0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0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0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0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0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00B"/>
    <w:rPr>
      <w:u w:val="single"/>
    </w:rPr>
  </w:style>
  <w:style w:type="character" w:customStyle="1" w:styleId="BoldandItalics">
    <w:name w:val="Bold and Italics"/>
    <w:qFormat/>
    <w:rsid w:val="00AA100B"/>
    <w:rPr>
      <w:b/>
      <w:i/>
      <w:u w:val="none"/>
    </w:rPr>
  </w:style>
  <w:style w:type="paragraph" w:styleId="BalloonText">
    <w:name w:val="Balloon Text"/>
    <w:basedOn w:val="Normal"/>
    <w:link w:val="BalloonTextChar"/>
    <w:rsid w:val="00AA10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0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0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0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0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0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0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1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3917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RGRPSG409 Assess greyhound structural and functional suitability for racing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