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3DE" w:rsidP="006863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RGRPSG303 Meet nutritional needs of greyhounds</w:t>
      </w:r>
      <w:r>
        <w:fldChar w:fldCharType="end"/>
      </w:r>
    </w:p>
    <w:p w:rsidR="006863DE" w:rsidP="006863DE">
      <w:pPr>
        <w:pStyle w:val="Version"/>
        <w:sectPr w:rsidSect="001A31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167" w:rsidP="001A3167">
      <w:pPr>
        <w:pStyle w:val="SuperHeading"/>
      </w:pPr>
      <w:r w:rsidRPr="001A3167">
        <w:t>RGRPSG303 Meet nutritional needs of greyhounds</w:t>
      </w:r>
    </w:p>
    <w:p w:rsidR="00000000" w:rsidRPr="001A3167" w:rsidP="001A3167">
      <w:pPr>
        <w:pStyle w:val="Heading1"/>
      </w:pPr>
      <w:bookmarkStart w:id="1" w:name="O_854394"/>
      <w:bookmarkEnd w:id="1"/>
      <w:r w:rsidRPr="001A31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rPr>
                <w:rStyle w:val="SpecialBold"/>
              </w:rPr>
              <w:t>Comments</w:t>
            </w:r>
          </w:p>
        </w:tc>
      </w:tr>
      <w:tr w:rsidTr="001A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t>This version released with RGR Racing and Breeding Training Package Version 1.0.</w:t>
            </w:r>
          </w:p>
        </w:tc>
      </w:tr>
    </w:tbl>
    <w:p w:rsidR="00000000" w:rsidRPr="001A3167" w:rsidP="001A3167">
      <w:pPr>
        <w:pStyle w:val="BodyText"/>
      </w:pPr>
    </w:p>
    <w:p w:rsidR="00000000" w:rsidRPr="001A3167" w:rsidP="001A3167">
      <w:pPr>
        <w:pStyle w:val="AllowPageBreak"/>
      </w:pPr>
    </w:p>
    <w:p w:rsidR="00000000" w:rsidRPr="001A3167" w:rsidP="001A3167">
      <w:pPr>
        <w:pStyle w:val="Heading1"/>
      </w:pPr>
      <w:bookmarkStart w:id="2" w:name="O_854395"/>
      <w:bookmarkEnd w:id="2"/>
      <w:r w:rsidRPr="001A3167">
        <w:t>Application</w:t>
      </w:r>
    </w:p>
    <w:p w:rsidR="00000000" w:rsidRPr="001A3167" w:rsidP="006863DE">
      <w:pPr>
        <w:pStyle w:val="BodyText"/>
      </w:pPr>
      <w:r w:rsidRPr="001A3167">
        <w:t xml:space="preserve">This unit of competency describes the skills and knowledge required to prepare rations </w:t>
      </w:r>
      <w:r w:rsidRPr="001A3167">
        <w:t>for greyhounds and assess the range of feed, additives and supplements in relation to industry quality regulations.</w:t>
      </w:r>
    </w:p>
    <w:p w:rsidR="00000000" w:rsidRPr="001A3167" w:rsidP="006863DE">
      <w:pPr>
        <w:pStyle w:val="BodyText"/>
      </w:pPr>
      <w:r w:rsidRPr="001A3167">
        <w:t>The unit applies to individuals who are responsible for the health of greyhounds.</w:t>
      </w:r>
    </w:p>
    <w:p w:rsidR="00000000" w:rsidRPr="001A3167" w:rsidP="006863DE">
      <w:pPr>
        <w:pStyle w:val="BodyText"/>
      </w:pPr>
      <w:r w:rsidRPr="001A3167">
        <w:t>Licensing, legislative, regulatory or certification requ</w:t>
      </w:r>
      <w:r w:rsidRPr="001A3167">
        <w:t>irements may apply to this unit. Refer to your state or territory Controlling Body or Principal Racing Authority for current licence or registration requirements.</w:t>
      </w:r>
    </w:p>
    <w:p w:rsidR="00000000" w:rsidRPr="001A3167" w:rsidP="001A3167">
      <w:pPr>
        <w:pStyle w:val="Heading1"/>
      </w:pPr>
      <w:bookmarkStart w:id="3" w:name="O_854396"/>
      <w:bookmarkEnd w:id="3"/>
      <w:r w:rsidRPr="001A3167">
        <w:t>Pre-requisite Unit</w:t>
      </w:r>
    </w:p>
    <w:p w:rsidR="00000000" w:rsidRPr="001A3167" w:rsidP="006863DE">
      <w:pPr>
        <w:pStyle w:val="BodyText"/>
      </w:pPr>
      <w:r w:rsidRPr="001A3167">
        <w:t>RGRPSG201 Handle greyhounds</w:t>
      </w:r>
    </w:p>
    <w:p w:rsidR="00000000" w:rsidRPr="001A3167" w:rsidP="001A3167">
      <w:pPr>
        <w:pStyle w:val="Heading1"/>
      </w:pPr>
      <w:bookmarkStart w:id="4" w:name="O_854398"/>
      <w:bookmarkEnd w:id="4"/>
      <w:r w:rsidRPr="001A3167">
        <w:t>Unit Sector</w:t>
      </w:r>
    </w:p>
    <w:p w:rsidR="00000000" w:rsidRPr="001A3167" w:rsidP="006863DE">
      <w:pPr>
        <w:pStyle w:val="BodyText"/>
      </w:pPr>
      <w:r w:rsidRPr="001A3167">
        <w:t>Performance services greyhounds (PSG)</w:t>
      </w:r>
    </w:p>
    <w:p w:rsidR="00000000" w:rsidRPr="001A3167" w:rsidP="001A3167">
      <w:pPr>
        <w:pStyle w:val="Heading1"/>
      </w:pPr>
      <w:bookmarkStart w:id="5" w:name="O_854399"/>
      <w:bookmarkEnd w:id="5"/>
      <w:r w:rsidRPr="001A31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6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rPr>
                <w:rStyle w:val="SpecialBold"/>
              </w:rPr>
              <w:t>Performance Criteria</w:t>
            </w:r>
          </w:p>
        </w:tc>
      </w:tr>
      <w:tr w:rsidTr="00686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rPr>
                <w:rStyle w:val="Emphasis"/>
              </w:rPr>
              <w:t>Performance criteria describe the performance needed to demonstrate achievement of the element</w:t>
            </w:r>
            <w:r w:rsidRPr="001A3167">
              <w:rPr>
                <w:rStyle w:val="Emphasis"/>
              </w:rPr>
              <w:t>.</w:t>
            </w:r>
          </w:p>
        </w:tc>
      </w:tr>
      <w:tr w:rsidTr="00686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1. Determine nutrition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t>1.1 Determine nutrition requirements for each greyhound tailored to the age, gender, body mass and health of the dog and its career</w:t>
            </w:r>
          </w:p>
          <w:p w:rsidR="00000000" w:rsidRPr="001A3167" w:rsidP="001A3167">
            <w:pPr>
              <w:pStyle w:val="BodyText"/>
            </w:pPr>
            <w:r w:rsidRPr="001A3167">
              <w:t>1.2 Formulate individual rations appropriate to greyhound</w:t>
            </w:r>
            <w:r>
              <w:t>’</w:t>
            </w:r>
            <w:r w:rsidRPr="001A3167">
              <w:t>s condition, workload and stage of life</w:t>
            </w:r>
          </w:p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1.3 Investigate ways in which food can be used as a method of enriching the greyhound’s environment</w:t>
            </w:r>
          </w:p>
        </w:tc>
      </w:tr>
      <w:tr w:rsidTr="00686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2. Assess range of feed, additives and supplements for gr</w:t>
            </w:r>
            <w:r w:rsidRPr="001A3167">
              <w:t>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t>2.1 Select feed for an animal on the basis of quality, nutrition and cost</w:t>
            </w:r>
          </w:p>
          <w:p w:rsidR="00000000" w:rsidRPr="001A3167" w:rsidP="001A3167">
            <w:pPr>
              <w:pStyle w:val="BodyText"/>
            </w:pPr>
            <w:r w:rsidRPr="001A3167">
              <w:t>2.2 Assess supplements and feed additives on the basis of active ingredients, price and nutritional needs of specific greyhounds</w:t>
            </w:r>
          </w:p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2.3 Check selected supplements and feed addi</w:t>
            </w:r>
            <w:r w:rsidRPr="001A3167">
              <w:t>tives for rules of racing and animal welfare compliance</w:t>
            </w:r>
          </w:p>
        </w:tc>
      </w:tr>
      <w:tr w:rsidTr="00686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3. Monitor kennel feeding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t>3.1 Assess individual greyhounds for condition and nutritional needs and discuss greyhounds’ conditions and general behaviour with relevant kennel staff</w:t>
            </w:r>
          </w:p>
          <w:p w:rsidR="00000000" w:rsidRPr="001A3167" w:rsidP="001A3167">
            <w:pPr>
              <w:pStyle w:val="BodyText"/>
            </w:pPr>
            <w:r w:rsidRPr="001A3167">
              <w:t>3.2 Ensure</w:t>
            </w:r>
            <w:r w:rsidRPr="001A3167">
              <w:t xml:space="preserve"> water and feeding infrastructure ensures access to and security of food</w:t>
            </w:r>
          </w:p>
          <w:p w:rsidR="00000000" w:rsidRPr="001A3167" w:rsidP="001A3167">
            <w:pPr>
              <w:pStyle w:val="BodyText"/>
            </w:pPr>
            <w:r w:rsidRPr="001A3167">
              <w:t>3.3 Monitor and record individual greyhounds</w:t>
            </w:r>
            <w:r>
              <w:t>’</w:t>
            </w:r>
            <w:r w:rsidRPr="001A3167">
              <w:t xml:space="preserve"> eating behaviour, feed intake and work level, according to nutritional principles for greyhound welfare</w:t>
            </w:r>
          </w:p>
          <w:p w:rsidR="00000000" w:rsidRPr="001A3167" w:rsidP="001A3167">
            <w:pPr>
              <w:pStyle w:val="BodyText"/>
            </w:pPr>
            <w:r w:rsidRPr="001A3167">
              <w:t>3.4 Modify feeding practices in r</w:t>
            </w:r>
            <w:r w:rsidRPr="001A3167">
              <w:t>esponse to outcomes of monitoring</w:t>
            </w:r>
          </w:p>
        </w:tc>
      </w:tr>
    </w:tbl>
    <w:p w:rsidR="00000000" w:rsidRPr="001A3167" w:rsidP="001A3167">
      <w:pPr>
        <w:pStyle w:val="BodyText"/>
      </w:pPr>
    </w:p>
    <w:p w:rsidR="00000000" w:rsidRPr="001A3167" w:rsidP="001A3167">
      <w:pPr>
        <w:pStyle w:val="AllowPageBreak"/>
      </w:pPr>
    </w:p>
    <w:p w:rsidR="00000000" w:rsidRPr="001A3167" w:rsidP="001A3167">
      <w:pPr>
        <w:pStyle w:val="Heading1"/>
      </w:pPr>
      <w:bookmarkStart w:id="6" w:name="O_854400"/>
      <w:bookmarkEnd w:id="6"/>
      <w:r w:rsidRPr="001A3167">
        <w:t>Foundation Skills</w:t>
      </w:r>
    </w:p>
    <w:p w:rsidR="00000000" w:rsidRPr="006863DE" w:rsidP="006863DE">
      <w:pPr>
        <w:pStyle w:val="BodyText"/>
        <w:rPr>
          <w:i/>
        </w:rPr>
      </w:pPr>
      <w:r w:rsidRPr="006863DE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6863DE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rPr>
                <w:rStyle w:val="SpecialBold"/>
              </w:rPr>
              <w:t>Description</w:t>
            </w:r>
          </w:p>
        </w:tc>
      </w:tr>
      <w:tr w:rsidTr="001A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ListBullet"/>
              <w:rPr>
                <w:lang w:val="en-NZ"/>
              </w:rPr>
            </w:pPr>
            <w:r w:rsidRPr="001A3167">
              <w:t>Identify texts relating to greyhound feed and supplements and analyse information</w:t>
            </w:r>
          </w:p>
        </w:tc>
      </w:tr>
      <w:tr w:rsidTr="001A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ListBullet"/>
              <w:rPr>
                <w:lang w:val="en-NZ"/>
              </w:rPr>
            </w:pPr>
            <w:r w:rsidRPr="001A3167">
              <w:t xml:space="preserve">Use clear, specific and industry-related terminology to record details regarding greyhound eating </w:t>
            </w:r>
            <w:r w:rsidRPr="001A3167">
              <w:t>behaviour</w:t>
            </w:r>
          </w:p>
        </w:tc>
      </w:tr>
      <w:tr w:rsidTr="001A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ListBullet"/>
              <w:rPr>
                <w:lang w:val="en-NZ"/>
              </w:rPr>
            </w:pPr>
            <w:r w:rsidRPr="001A3167">
              <w:t>Use ratios to correctly use nutritional supplements and formulate rations</w:t>
            </w:r>
          </w:p>
        </w:tc>
      </w:tr>
      <w:tr w:rsidTr="001A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ListBullet"/>
            </w:pPr>
            <w:r w:rsidRPr="001A3167">
              <w:t>Take responsibility for organising own workload, identifying ways of sequencing and combining elements for greater efficiency</w:t>
            </w:r>
          </w:p>
        </w:tc>
      </w:tr>
    </w:tbl>
    <w:p w:rsidR="00000000" w:rsidRPr="001A3167" w:rsidP="001A3167">
      <w:pPr>
        <w:pStyle w:val="BodyText"/>
      </w:pPr>
    </w:p>
    <w:p w:rsidR="00000000" w:rsidRPr="001A3167" w:rsidP="001A3167">
      <w:pPr>
        <w:pStyle w:val="AllowPageBreak"/>
      </w:pPr>
    </w:p>
    <w:p w:rsidR="00000000" w:rsidRPr="001A3167" w:rsidP="001A3167">
      <w:pPr>
        <w:pStyle w:val="Heading1"/>
      </w:pPr>
      <w:bookmarkStart w:id="7" w:name="O_854402"/>
      <w:bookmarkEnd w:id="7"/>
      <w:r w:rsidRPr="001A31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A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rPr>
                <w:rStyle w:val="SpecialBold"/>
              </w:rPr>
              <w:t>Equivalence status</w:t>
            </w:r>
          </w:p>
        </w:tc>
      </w:tr>
      <w:tr w:rsidTr="001A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RGRPSG303 Meet nutritional needs of greyhounds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RGRPSG303A Determine nutritional requirements for racing greyhounds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t>Updated to meet Standards for Training Packages</w:t>
            </w:r>
          </w:p>
          <w:p w:rsidR="00000000" w:rsidRPr="001A3167" w:rsidP="001A3167">
            <w:pPr>
              <w:pStyle w:val="BodyText"/>
            </w:pPr>
            <w:r w:rsidRPr="001A3167">
              <w:t>Title changed to reflect unit’s focus on the educational knowledge of nutrition</w:t>
            </w:r>
          </w:p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 xml:space="preserve">Inclusion of prerequisite, </w:t>
            </w:r>
            <w:r w:rsidRPr="001A3167">
              <w:rPr>
                <w:rStyle w:val="Emphasis"/>
              </w:rPr>
              <w:t>RGRPSG201 Handle greyhounds.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t>No equivalent unit</w:t>
            </w:r>
          </w:p>
        </w:tc>
      </w:tr>
    </w:tbl>
    <w:p w:rsidR="00000000" w:rsidRPr="001A3167" w:rsidP="001A3167">
      <w:pPr>
        <w:pStyle w:val="BodyText"/>
      </w:pPr>
    </w:p>
    <w:p w:rsidR="00000000" w:rsidRPr="001A3167" w:rsidP="001A3167">
      <w:pPr>
        <w:pStyle w:val="AllowPageBreak"/>
      </w:pPr>
    </w:p>
    <w:p w:rsidR="00000000" w:rsidRPr="001A3167" w:rsidP="001A3167">
      <w:pPr>
        <w:pStyle w:val="Heading1"/>
      </w:pPr>
      <w:bookmarkStart w:id="8" w:name="O_854409"/>
      <w:bookmarkEnd w:id="8"/>
      <w:r w:rsidRPr="001A3167">
        <w:t>Links</w:t>
      </w:r>
    </w:p>
    <w:p w:rsidR="00000000" w:rsidRPr="001A3167" w:rsidP="006863DE">
      <w:pPr>
        <w:pStyle w:val="BodyText"/>
      </w:pPr>
      <w:r w:rsidRPr="001A31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B7E8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A3167" w:rsidP="006863DE">
      <w:pPr>
        <w:pStyle w:val="BodyText"/>
        <w:sectPr w:rsidSect="001A31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3167" w:rsidP="001A3167">
      <w:pPr>
        <w:pStyle w:val="SuperHeading"/>
      </w:pPr>
      <w:r w:rsidRPr="001A3167">
        <w:t>Assessment Requ</w:t>
      </w:r>
      <w:r w:rsidRPr="001A3167">
        <w:t>irements for RGRPSG303 Meet nutritional needs of greyhounds</w:t>
      </w:r>
    </w:p>
    <w:p w:rsidR="00000000" w:rsidRPr="001A3167" w:rsidP="001A3167">
      <w:pPr>
        <w:pStyle w:val="Heading1"/>
      </w:pPr>
      <w:bookmarkStart w:id="9" w:name="O_854404"/>
      <w:bookmarkEnd w:id="9"/>
      <w:r w:rsidRPr="001A31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rPr>
                <w:rStyle w:val="SpecialBold"/>
              </w:rPr>
              <w:t>Comments</w:t>
            </w:r>
          </w:p>
        </w:tc>
      </w:tr>
      <w:tr w:rsidTr="001A3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67">
            <w:pPr>
              <w:pStyle w:val="BodyText"/>
              <w:rPr>
                <w:lang w:val="en-NZ"/>
              </w:rPr>
            </w:pPr>
            <w:r w:rsidRPr="001A31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67" w:rsidP="001A3167">
            <w:pPr>
              <w:pStyle w:val="BodyText"/>
            </w:pPr>
            <w:r w:rsidRPr="001A3167">
              <w:t>This version released with RGR Racing and Breeding Training Package Version 1.0.</w:t>
            </w:r>
          </w:p>
        </w:tc>
      </w:tr>
    </w:tbl>
    <w:p w:rsidR="00000000" w:rsidRPr="001A3167" w:rsidP="001A3167">
      <w:pPr>
        <w:pStyle w:val="BodyText"/>
      </w:pPr>
    </w:p>
    <w:p w:rsidR="00000000" w:rsidRPr="001A3167" w:rsidP="001A3167">
      <w:pPr>
        <w:pStyle w:val="AllowPageBreak"/>
      </w:pPr>
    </w:p>
    <w:p w:rsidR="00000000" w:rsidRPr="001A3167" w:rsidP="001A3167">
      <w:pPr>
        <w:pStyle w:val="Heading1"/>
      </w:pPr>
      <w:bookmarkStart w:id="10" w:name="O_854405"/>
      <w:bookmarkEnd w:id="10"/>
      <w:r w:rsidRPr="001A3167">
        <w:t>Performance Evidence</w:t>
      </w:r>
    </w:p>
    <w:p w:rsidR="00000000" w:rsidRPr="001A3167" w:rsidP="006863DE">
      <w:pPr>
        <w:pStyle w:val="BodyText"/>
      </w:pPr>
      <w:r w:rsidRPr="001A3167">
        <w:t>An individual demonstrating competency must satisfy all of the elements, performance criteria and foundation skills of this unit. There must be evidence that the individual has:</w:t>
      </w:r>
    </w:p>
    <w:p w:rsidR="00000000" w:rsidRPr="001A3167" w:rsidP="001A3167">
      <w:pPr>
        <w:pStyle w:val="ListBullet"/>
      </w:pPr>
      <w:r w:rsidRPr="001A3167">
        <w:t>met the nutritional requirements of at least three greyhounds.</w:t>
      </w:r>
    </w:p>
    <w:p w:rsidR="00000000" w:rsidRPr="001A3167" w:rsidP="001A3167">
      <w:pPr>
        <w:pStyle w:val="AllowPageBreak"/>
      </w:pPr>
    </w:p>
    <w:p w:rsidR="00000000" w:rsidRPr="001A3167" w:rsidP="001A3167">
      <w:pPr>
        <w:pStyle w:val="Heading1"/>
      </w:pPr>
      <w:bookmarkStart w:id="11" w:name="O_854406"/>
      <w:bookmarkEnd w:id="11"/>
      <w:r w:rsidRPr="001A3167">
        <w:t>Knowledge Evidence</w:t>
      </w:r>
    </w:p>
    <w:p w:rsidR="00000000" w:rsidRPr="001A3167" w:rsidP="006863DE">
      <w:pPr>
        <w:pStyle w:val="BodyText"/>
      </w:pPr>
      <w:r w:rsidRPr="001A3167">
        <w:t>An individual demonstrating competency must satisfy all of the elements and performance criteria in this unit. This includes knowledge of:</w:t>
      </w:r>
    </w:p>
    <w:p w:rsidR="00000000" w:rsidRPr="001A3167" w:rsidP="001A3167">
      <w:pPr>
        <w:pStyle w:val="ListBullet"/>
      </w:pPr>
      <w:r w:rsidRPr="001A3167">
        <w:t>principles and practices of greyhound nutrition</w:t>
      </w:r>
    </w:p>
    <w:p w:rsidR="00000000" w:rsidRPr="001A3167" w:rsidP="001A3167">
      <w:pPr>
        <w:pStyle w:val="ListBullet"/>
      </w:pPr>
      <w:r w:rsidRPr="001A3167">
        <w:t>economic value of various feeds, and methods u</w:t>
      </w:r>
      <w:r w:rsidRPr="001A3167">
        <w:t>sed to measure feed value, including weighing feeds</w:t>
      </w:r>
    </w:p>
    <w:p w:rsidR="00000000" w:rsidRPr="001A3167" w:rsidP="001A3167">
      <w:pPr>
        <w:pStyle w:val="ListBullet"/>
      </w:pPr>
      <w:r w:rsidRPr="001A3167">
        <w:t>nutritional value of various types of feed and feed supplements, including:</w:t>
      </w:r>
    </w:p>
    <w:p w:rsidR="00000000" w:rsidRPr="001A3167" w:rsidP="001A3167">
      <w:pPr>
        <w:pStyle w:val="ListBullet2"/>
      </w:pPr>
      <w:r w:rsidRPr="001A3167">
        <w:t>sources and importance of energy, protein, fibre, minerals, trace elements and vitamins, in a feed ration</w:t>
      </w:r>
    </w:p>
    <w:p w:rsidR="00000000" w:rsidRPr="001A3167" w:rsidP="001A3167">
      <w:pPr>
        <w:pStyle w:val="ListBullet2"/>
      </w:pPr>
      <w:r w:rsidRPr="001A3167">
        <w:t>how to recognise qual</w:t>
      </w:r>
      <w:r w:rsidRPr="001A3167">
        <w:t>ity feed</w:t>
      </w:r>
    </w:p>
    <w:p w:rsidR="00000000" w:rsidRPr="001A3167" w:rsidP="001A3167">
      <w:pPr>
        <w:pStyle w:val="ListBullet"/>
      </w:pPr>
      <w:r w:rsidRPr="001A3167">
        <w:t>greyhound digestive system and reactions to different feeds</w:t>
      </w:r>
    </w:p>
    <w:p w:rsidR="00000000" w:rsidRPr="001A3167" w:rsidP="001A3167">
      <w:pPr>
        <w:pStyle w:val="ListBullet"/>
      </w:pPr>
      <w:r w:rsidRPr="001A3167">
        <w:t>ways in which food can be used as environmental enrichment</w:t>
      </w:r>
    </w:p>
    <w:p w:rsidR="00000000" w:rsidRPr="001A3167" w:rsidP="001A3167">
      <w:pPr>
        <w:pStyle w:val="ListBullet"/>
      </w:pPr>
      <w:r w:rsidRPr="001A3167">
        <w:t>relationship between food and dental health, including dental hygiene</w:t>
      </w:r>
    </w:p>
    <w:p w:rsidR="00000000" w:rsidRPr="001A3167" w:rsidP="001A3167">
      <w:pPr>
        <w:pStyle w:val="ListBullet"/>
      </w:pPr>
      <w:r w:rsidRPr="001A3167">
        <w:t>industry terminology related to handling, caring and feeding greyhounds</w:t>
      </w:r>
    </w:p>
    <w:p w:rsidR="00000000" w:rsidRPr="001A3167" w:rsidP="001A3167">
      <w:pPr>
        <w:pStyle w:val="ListBullet"/>
      </w:pPr>
      <w:r w:rsidRPr="001A3167">
        <w:t>interactions between feed and supplements that may result in contravention of industry regulations</w:t>
      </w:r>
    </w:p>
    <w:p w:rsidR="00000000" w:rsidRPr="001A3167" w:rsidP="001A3167">
      <w:pPr>
        <w:pStyle w:val="ListBullet"/>
      </w:pPr>
      <w:r w:rsidRPr="001A3167">
        <w:t>methods used to measure greyhound weight and condition</w:t>
      </w:r>
    </w:p>
    <w:p w:rsidR="00000000" w:rsidRPr="001A3167" w:rsidP="001A3167">
      <w:pPr>
        <w:pStyle w:val="ListBullet"/>
      </w:pPr>
      <w:r w:rsidRPr="001A3167">
        <w:t>nutritional principles in resp</w:t>
      </w:r>
      <w:r w:rsidRPr="001A3167">
        <w:t>ect to greyhounds</w:t>
      </w:r>
      <w:r>
        <w:t>’</w:t>
      </w:r>
      <w:r w:rsidRPr="001A3167">
        <w:t xml:space="preserve"> age, condition and needs at different stages of life</w:t>
      </w:r>
    </w:p>
    <w:p w:rsidR="00000000" w:rsidRPr="001A3167" w:rsidP="001A3167">
      <w:pPr>
        <w:pStyle w:val="ListBullet"/>
      </w:pPr>
      <w:r w:rsidRPr="001A3167">
        <w:t>relevant rules of racing.</w:t>
      </w:r>
    </w:p>
    <w:p w:rsidR="00000000" w:rsidRPr="001A3167" w:rsidP="001A3167">
      <w:pPr>
        <w:pStyle w:val="AllowPageBreak"/>
      </w:pPr>
    </w:p>
    <w:p w:rsidR="00000000" w:rsidRPr="001A3167" w:rsidP="001A3167">
      <w:pPr>
        <w:pStyle w:val="Heading1"/>
      </w:pPr>
      <w:bookmarkStart w:id="12" w:name="O_854407"/>
      <w:bookmarkEnd w:id="12"/>
      <w:r w:rsidRPr="001A3167">
        <w:t>Assessment Conditions</w:t>
      </w:r>
    </w:p>
    <w:p w:rsidR="00000000" w:rsidRPr="001A3167" w:rsidP="006863DE">
      <w:pPr>
        <w:pStyle w:val="BodyText"/>
      </w:pPr>
      <w:r w:rsidRPr="001A3167">
        <w:t>Assessment of skills must take place under the following conditions:</w:t>
      </w:r>
    </w:p>
    <w:p w:rsidR="00000000" w:rsidRPr="001A3167" w:rsidP="001A3167">
      <w:pPr>
        <w:pStyle w:val="ListBullet"/>
      </w:pPr>
      <w:r w:rsidRPr="001A3167">
        <w:t>physical conditions:</w:t>
      </w:r>
    </w:p>
    <w:p w:rsidR="00000000" w:rsidRPr="001A3167" w:rsidP="001A3167">
      <w:pPr>
        <w:pStyle w:val="ListBullet2"/>
      </w:pPr>
      <w:r w:rsidRPr="001A3167">
        <w:t>a greyhound establishment o</w:t>
      </w:r>
      <w:r w:rsidRPr="001A3167">
        <w:t>r an environment that accurately represents workplace conditions</w:t>
      </w:r>
    </w:p>
    <w:p w:rsidR="00000000" w:rsidRPr="001A3167" w:rsidP="001A3167">
      <w:pPr>
        <w:pStyle w:val="ListBullet"/>
      </w:pPr>
      <w:r w:rsidRPr="001A3167">
        <w:t>resources, equipment and materials:</w:t>
      </w:r>
    </w:p>
    <w:p w:rsidR="00000000" w:rsidRPr="001A3167" w:rsidP="001A3167">
      <w:pPr>
        <w:pStyle w:val="ListBullet2"/>
      </w:pPr>
      <w:r w:rsidRPr="001A3167">
        <w:t>live greyhounds</w:t>
      </w:r>
    </w:p>
    <w:p w:rsidR="00000000" w:rsidRPr="001A3167" w:rsidP="001A3167">
      <w:pPr>
        <w:pStyle w:val="ListBullet2"/>
      </w:pPr>
      <w:r w:rsidRPr="001A3167">
        <w:t>common types of greyhound feeds and supplements</w:t>
      </w:r>
    </w:p>
    <w:p w:rsidR="00000000" w:rsidRPr="001A3167" w:rsidP="001A3167">
      <w:pPr>
        <w:pStyle w:val="ListBullet2"/>
      </w:pPr>
      <w:r w:rsidRPr="001A3167">
        <w:t>weighing equipment.</w:t>
      </w:r>
    </w:p>
    <w:p w:rsidR="00000000" w:rsidRPr="001A3167" w:rsidP="006863DE">
      <w:pPr>
        <w:pStyle w:val="BodyText"/>
      </w:pPr>
      <w:r w:rsidRPr="001A3167">
        <w:t>Assessors of this unit must satisfy the requirements for assessors in applicable vocational education and training legislation, frameworks and/or standards.</w:t>
      </w:r>
    </w:p>
    <w:p w:rsidR="00000000" w:rsidRPr="001A3167" w:rsidP="001A3167">
      <w:pPr>
        <w:pStyle w:val="Heading1"/>
      </w:pPr>
      <w:bookmarkStart w:id="13" w:name="O_854410"/>
      <w:bookmarkEnd w:id="13"/>
      <w:r w:rsidRPr="001A3167">
        <w:t>Links</w:t>
      </w:r>
    </w:p>
    <w:p w:rsidR="00000000" w:rsidRPr="001A3167" w:rsidP="006863DE">
      <w:pPr>
        <w:pStyle w:val="BodyText"/>
      </w:pPr>
      <w:r w:rsidRPr="001A3167">
        <w:t>Companion Volumes, including Implementation Guides, are available at VETNet:</w:t>
      </w:r>
      <w:r w:rsidRPr="001A3167">
        <w:t xml:space="preserve">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B7E8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A3167" w:rsidP="001A3167"/>
    <w:sectPr w:rsidSect="001A31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67" w:rsidRPr="006863DE" w:rsidP="006863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DE" w:rsidP="001A31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3DE" w:rsidP="001A31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63DE" w:rsidP="001A31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67" w:rsidP="001A31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63DE">
      <w:t>Approved</w:t>
    </w:r>
    <w:r w:rsidR="006863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63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63DE">
      <w:rPr>
        <w:noProof/>
      </w:rPr>
      <w:t>4</w:t>
    </w:r>
    <w:r>
      <w:rPr>
        <w:noProof/>
      </w:rPr>
      <w:fldChar w:fldCharType="end"/>
    </w:r>
  </w:p>
  <w:p w:rsidR="001A3167" w:rsidP="001A31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63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63DE">
      <w:t>Skills Insight</w:t>
    </w:r>
    <w:r w:rsidR="006863DE">
      <w:fldChar w:fldCharType="end"/>
    </w:r>
  </w:p>
  <w:p w:rsidR="001A3167" w:rsidP="001A31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167" w:rsidRPr="006863DE" w:rsidP="006863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DE" w:rsidRPr="002D2AF8" w:rsidP="001A31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RGRPSG303 Meet nutritional needs of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63DE" w:rsidP="001A31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67" w:rsidRPr="002D2AF8" w:rsidP="001A31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63DE">
      <w:t>RGRPSG303 Meet nutritional needs of greyhounds</w:t>
    </w:r>
    <w:r w:rsidR="006863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63DE">
      <w:rPr>
        <w:noProof/>
      </w:rPr>
      <w:t>2 March 2025</w:t>
    </w:r>
    <w:r>
      <w:fldChar w:fldCharType="end"/>
    </w:r>
  </w:p>
  <w:p w:rsidR="001A3167" w:rsidP="001A31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7A5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1AF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DE3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1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1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1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1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1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1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1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1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1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1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1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167"/>
  </w:style>
  <w:style w:type="character" w:customStyle="1" w:styleId="Heading1Char">
    <w:name w:val="Heading 1 Char"/>
    <w:basedOn w:val="DefaultParagraphFont"/>
    <w:link w:val="Heading1"/>
    <w:rsid w:val="001A31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1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1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1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167"/>
    <w:rPr>
      <w:b/>
      <w:spacing w:val="0"/>
    </w:rPr>
  </w:style>
  <w:style w:type="paragraph" w:styleId="ListBullet2">
    <w:name w:val="List Bullet 2"/>
    <w:basedOn w:val="List2"/>
    <w:rsid w:val="001A31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3167"/>
    <w:rPr>
      <w:i/>
    </w:rPr>
  </w:style>
  <w:style w:type="paragraph" w:customStyle="1" w:styleId="SuperHeading">
    <w:name w:val="SuperHeading"/>
    <w:basedOn w:val="Normal"/>
    <w:rsid w:val="001A31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1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1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1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1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1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1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1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1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1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1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1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1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1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1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1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1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1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1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1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1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1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1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1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1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1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1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1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1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1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1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1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1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167"/>
  </w:style>
  <w:style w:type="paragraph" w:styleId="TableofFigures">
    <w:name w:val="table of figures"/>
    <w:basedOn w:val="Normal"/>
    <w:next w:val="Normal"/>
    <w:semiHidden/>
    <w:rsid w:val="001A31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1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167"/>
    <w:rPr>
      <w:rFonts w:ascii="Wingdings" w:hAnsi="Wingdings"/>
    </w:rPr>
  </w:style>
  <w:style w:type="paragraph" w:customStyle="1" w:styleId="TableHeading">
    <w:name w:val="Table Heading"/>
    <w:basedOn w:val="HeadingBase"/>
    <w:rsid w:val="001A31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167"/>
    <w:rPr>
      <w:color w:val="0033CC"/>
      <w:u w:val="none"/>
    </w:rPr>
  </w:style>
  <w:style w:type="paragraph" w:customStyle="1" w:styleId="BodyTextRight">
    <w:name w:val="Body Text Right"/>
    <w:basedOn w:val="BodyText"/>
    <w:rsid w:val="001A31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1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1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1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1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1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167"/>
    <w:rPr>
      <w:sz w:val="32"/>
    </w:rPr>
  </w:style>
  <w:style w:type="paragraph" w:customStyle="1" w:styleId="HeadingProcedure">
    <w:name w:val="Heading Procedure"/>
    <w:basedOn w:val="HeadingBase"/>
    <w:next w:val="Normal"/>
    <w:rsid w:val="001A31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167"/>
    <w:pPr>
      <w:spacing w:before="60" w:after="60"/>
    </w:pPr>
  </w:style>
  <w:style w:type="paragraph" w:styleId="ListContinue">
    <w:name w:val="List Continue"/>
    <w:basedOn w:val="List"/>
    <w:rsid w:val="001A3167"/>
    <w:pPr>
      <w:ind w:firstLine="0"/>
    </w:pPr>
  </w:style>
  <w:style w:type="paragraph" w:customStyle="1" w:styleId="ListNote">
    <w:name w:val="List Note"/>
    <w:basedOn w:val="List"/>
    <w:rsid w:val="001A31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1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1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167"/>
    <w:rPr>
      <w:rFonts w:ascii="Courier New" w:hAnsi="Courier New"/>
    </w:rPr>
  </w:style>
  <w:style w:type="paragraph" w:customStyle="1" w:styleId="NoteBullet">
    <w:name w:val="Note Bullet"/>
    <w:basedOn w:val="Note"/>
    <w:rsid w:val="001A31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1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1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1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1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1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1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167"/>
    <w:rPr>
      <w:b/>
      <w:smallCaps/>
    </w:rPr>
  </w:style>
  <w:style w:type="paragraph" w:customStyle="1" w:styleId="TableListNumber">
    <w:name w:val="Table List Number"/>
    <w:basedOn w:val="ListNumber"/>
    <w:rsid w:val="001A31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1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167"/>
    <w:pPr>
      <w:numPr>
        <w:numId w:val="9"/>
      </w:numPr>
    </w:pPr>
  </w:style>
  <w:style w:type="paragraph" w:customStyle="1" w:styleId="ListAlpha2">
    <w:name w:val="List Alpha 2"/>
    <w:basedOn w:val="List2"/>
    <w:rsid w:val="001A3167"/>
    <w:pPr>
      <w:numPr>
        <w:numId w:val="8"/>
      </w:numPr>
    </w:pPr>
  </w:style>
  <w:style w:type="paragraph" w:styleId="List2">
    <w:name w:val="List 2"/>
    <w:basedOn w:val="BodyText"/>
    <w:rsid w:val="001A31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1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1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1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1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1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167"/>
    <w:pPr>
      <w:numPr>
        <w:numId w:val="4"/>
      </w:numPr>
    </w:pPr>
  </w:style>
  <w:style w:type="paragraph" w:styleId="ListContinue2">
    <w:name w:val="List Continue 2"/>
    <w:basedOn w:val="List2"/>
    <w:rsid w:val="001A3167"/>
    <w:pPr>
      <w:ind w:firstLine="0"/>
    </w:pPr>
  </w:style>
  <w:style w:type="paragraph" w:styleId="ListContinue3">
    <w:name w:val="List Continue 3"/>
    <w:basedOn w:val="List3"/>
    <w:rsid w:val="001A3167"/>
    <w:pPr>
      <w:ind w:left="1021" w:firstLine="0"/>
    </w:pPr>
  </w:style>
  <w:style w:type="paragraph" w:styleId="ListContinue4">
    <w:name w:val="List Continue 4"/>
    <w:basedOn w:val="List4"/>
    <w:rsid w:val="001A3167"/>
    <w:pPr>
      <w:ind w:firstLine="0"/>
    </w:pPr>
  </w:style>
  <w:style w:type="paragraph" w:styleId="ListContinue5">
    <w:name w:val="List Continue 5"/>
    <w:basedOn w:val="List5"/>
    <w:rsid w:val="001A3167"/>
    <w:pPr>
      <w:ind w:firstLine="0"/>
    </w:pPr>
  </w:style>
  <w:style w:type="paragraph" w:styleId="ListNumber3">
    <w:name w:val="List Number 3"/>
    <w:basedOn w:val="List3"/>
    <w:rsid w:val="001A3167"/>
    <w:pPr>
      <w:numPr>
        <w:numId w:val="5"/>
      </w:numPr>
    </w:pPr>
  </w:style>
  <w:style w:type="paragraph" w:styleId="ListNumber4">
    <w:name w:val="List Number 4"/>
    <w:basedOn w:val="List4"/>
    <w:rsid w:val="001A3167"/>
    <w:pPr>
      <w:numPr>
        <w:numId w:val="6"/>
      </w:numPr>
    </w:pPr>
  </w:style>
  <w:style w:type="paragraph" w:styleId="ListNumber5">
    <w:name w:val="List Number 5"/>
    <w:basedOn w:val="List5"/>
    <w:rsid w:val="001A3167"/>
    <w:pPr>
      <w:numPr>
        <w:numId w:val="7"/>
      </w:numPr>
    </w:pPr>
  </w:style>
  <w:style w:type="paragraph" w:styleId="BlockText">
    <w:name w:val="Block Text"/>
    <w:basedOn w:val="Normal"/>
    <w:rsid w:val="001A31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1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167"/>
    <w:rPr>
      <w:sz w:val="16"/>
      <w:vertAlign w:val="superscript"/>
    </w:rPr>
  </w:style>
  <w:style w:type="character" w:customStyle="1" w:styleId="Symbols">
    <w:name w:val="Symbols"/>
    <w:basedOn w:val="DefaultParagraphFont"/>
    <w:rsid w:val="001A3167"/>
    <w:rPr>
      <w:rFonts w:ascii="Symbol" w:hAnsi="Symbol"/>
    </w:rPr>
  </w:style>
  <w:style w:type="character" w:customStyle="1" w:styleId="MenuOptions">
    <w:name w:val="Menu Options"/>
    <w:basedOn w:val="DefaultParagraphFont"/>
    <w:rsid w:val="001A31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167"/>
    <w:rPr>
      <w:b/>
    </w:rPr>
  </w:style>
  <w:style w:type="character" w:customStyle="1" w:styleId="Underlined">
    <w:name w:val="Underlined"/>
    <w:basedOn w:val="DefaultParagraphFont"/>
    <w:rsid w:val="001A3167"/>
    <w:rPr>
      <w:u w:val="single"/>
    </w:rPr>
  </w:style>
  <w:style w:type="paragraph" w:customStyle="1" w:styleId="TableBodyTextRight">
    <w:name w:val="Table Body Text Right"/>
    <w:basedOn w:val="TableBodyText"/>
    <w:rsid w:val="001A31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167"/>
    <w:rPr>
      <w:sz w:val="18"/>
    </w:rPr>
  </w:style>
  <w:style w:type="paragraph" w:customStyle="1" w:styleId="BodySmallRight">
    <w:name w:val="Body Small Right"/>
    <w:basedOn w:val="BodyTextRight"/>
    <w:rsid w:val="001A3167"/>
    <w:rPr>
      <w:sz w:val="18"/>
      <w:szCs w:val="18"/>
    </w:rPr>
  </w:style>
  <w:style w:type="paragraph" w:customStyle="1" w:styleId="MarginEdition">
    <w:name w:val="Margin Edition"/>
    <w:basedOn w:val="MarginNote"/>
    <w:rsid w:val="001A31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167"/>
    <w:rPr>
      <w:sz w:val="2"/>
      <w:szCs w:val="2"/>
    </w:rPr>
  </w:style>
  <w:style w:type="character" w:customStyle="1" w:styleId="Small">
    <w:name w:val="Small"/>
    <w:basedOn w:val="DefaultParagraphFont"/>
    <w:rsid w:val="001A3167"/>
    <w:rPr>
      <w:sz w:val="16"/>
    </w:rPr>
  </w:style>
  <w:style w:type="paragraph" w:customStyle="1" w:styleId="WideTable">
    <w:name w:val="Wide Table"/>
    <w:basedOn w:val="Normal"/>
    <w:rsid w:val="001A31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167"/>
  </w:style>
  <w:style w:type="paragraph" w:styleId="Quote">
    <w:name w:val="Quote"/>
    <w:basedOn w:val="Heading1"/>
    <w:link w:val="QuoteChar"/>
    <w:qFormat/>
    <w:rsid w:val="001A31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1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167"/>
    <w:pPr>
      <w:pageBreakBefore/>
    </w:pPr>
  </w:style>
  <w:style w:type="paragraph" w:customStyle="1" w:styleId="Border">
    <w:name w:val="Border"/>
    <w:basedOn w:val="Normal"/>
    <w:qFormat/>
    <w:rsid w:val="001A31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1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1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1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1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1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1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1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1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167"/>
    <w:rPr>
      <w:u w:val="single"/>
    </w:rPr>
  </w:style>
  <w:style w:type="character" w:customStyle="1" w:styleId="BoldandItalics">
    <w:name w:val="Bold and Italics"/>
    <w:qFormat/>
    <w:rsid w:val="001A3167"/>
    <w:rPr>
      <w:b/>
      <w:i/>
      <w:u w:val="none"/>
    </w:rPr>
  </w:style>
  <w:style w:type="paragraph" w:styleId="BalloonText">
    <w:name w:val="Balloon Text"/>
    <w:basedOn w:val="Normal"/>
    <w:link w:val="BalloonTextChar"/>
    <w:rsid w:val="001A3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1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1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1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1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1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167"/>
    <w:pPr>
      <w:spacing w:before="0" w:after="0"/>
    </w:pPr>
  </w:style>
  <w:style w:type="paragraph" w:customStyle="1" w:styleId="BodyTextBold">
    <w:name w:val="Body Text Bold"/>
    <w:basedOn w:val="BodyText"/>
    <w:qFormat/>
    <w:rsid w:val="001A3167"/>
    <w:rPr>
      <w:b/>
    </w:rPr>
  </w:style>
  <w:style w:type="character" w:styleId="Hyperlink">
    <w:name w:val="Hyperlink"/>
    <w:basedOn w:val="DefaultParagraphFont"/>
    <w:uiPriority w:val="99"/>
    <w:unhideWhenUsed/>
    <w:rsid w:val="006863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5211</Characters>
  <Application>Microsoft Office Word</Application>
  <DocSecurity>0</DocSecurity>
  <Lines>186</Lines>
  <Paragraphs>113</Paragraphs>
  <ScaleCrop>false</ScaleCrop>
  <Company>Author-it Software Corporation Ltd.</Company>
  <LinksUpToDate>false</LinksUpToDate>
  <CharactersWithSpaces>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RGRPSG303 Meet nutritional needs of greyhounds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