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31A" w:rsidP="001A7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RGRPSG209 Ethically rehome a greyhound</w:t>
      </w:r>
      <w:r>
        <w:fldChar w:fldCharType="end"/>
      </w:r>
    </w:p>
    <w:p w:rsidR="001A731A" w:rsidP="001A731A">
      <w:pPr>
        <w:pStyle w:val="Version"/>
        <w:sectPr w:rsidSect="00091C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C71" w:rsidP="00091C71">
      <w:pPr>
        <w:pStyle w:val="SuperHeading"/>
      </w:pPr>
      <w:r w:rsidRPr="00091C71">
        <w:t>RGRPSG209 Ethically rehome a greyhound</w:t>
      </w:r>
    </w:p>
    <w:p w:rsidR="00000000" w:rsidRPr="00091C71" w:rsidP="00091C71">
      <w:pPr>
        <w:pStyle w:val="Heading1"/>
      </w:pPr>
      <w:bookmarkStart w:id="1" w:name="O_959390"/>
      <w:bookmarkEnd w:id="1"/>
      <w:r w:rsidRPr="00091C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1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rPr>
                <w:rStyle w:val="SpecialBold"/>
              </w:rPr>
              <w:t>Comments</w:t>
            </w:r>
          </w:p>
        </w:tc>
      </w:tr>
      <w:tr w:rsidTr="00091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t>This version released with RGR Racing and Breeding Training Package Version 1.0.</w:t>
            </w:r>
          </w:p>
        </w:tc>
      </w:tr>
    </w:tbl>
    <w:p w:rsidR="00000000" w:rsidRPr="00091C71" w:rsidP="00091C71">
      <w:pPr>
        <w:pStyle w:val="BodyText"/>
      </w:pPr>
    </w:p>
    <w:p w:rsidR="00000000" w:rsidRPr="00091C71" w:rsidP="00091C71">
      <w:pPr>
        <w:pStyle w:val="AllowPageBreak"/>
      </w:pPr>
    </w:p>
    <w:p w:rsidR="00000000" w:rsidRPr="00091C71" w:rsidP="00091C71">
      <w:pPr>
        <w:pStyle w:val="Heading1"/>
      </w:pPr>
      <w:bookmarkStart w:id="2" w:name="O_959391"/>
      <w:bookmarkEnd w:id="2"/>
      <w:r w:rsidRPr="00091C71">
        <w:t>Application</w:t>
      </w:r>
    </w:p>
    <w:p w:rsidR="00000000" w:rsidRPr="00091C71" w:rsidP="001A731A">
      <w:pPr>
        <w:pStyle w:val="BodyText"/>
      </w:pPr>
      <w:r w:rsidRPr="00091C71">
        <w:t xml:space="preserve">This unit of competency describes the skills and knowledge required to prepare a greyhound for </w:t>
      </w:r>
      <w:r w:rsidRPr="00091C71">
        <w:t>rehoming. It requires the ability to determine options, modify greyhound lifestyle and environment, and prepare and lodge required documentation.</w:t>
      </w:r>
    </w:p>
    <w:p w:rsidR="00000000" w:rsidRPr="00091C71" w:rsidP="001A731A">
      <w:pPr>
        <w:pStyle w:val="BodyText"/>
      </w:pPr>
      <w:r w:rsidRPr="00091C71">
        <w:t>The unit applies to individuals who are greyhound owners and others in the greyhound racing industry who prep</w:t>
      </w:r>
      <w:r w:rsidRPr="00091C71">
        <w:t>are greyhounds for retirement, including those working in greyhound adoption programs.</w:t>
      </w:r>
    </w:p>
    <w:p w:rsidR="00000000" w:rsidRPr="00091C71" w:rsidP="001A731A">
      <w:pPr>
        <w:pStyle w:val="BodyText"/>
      </w:pPr>
      <w:r w:rsidRPr="00091C71">
        <w:t>Licensing, legislative, regulatory or certification requirements may apply to this unit.  Check with your state or territory Controlling Body or Principal Racing Author</w:t>
      </w:r>
      <w:r w:rsidRPr="00091C71">
        <w:t>ity for current licence or registration requirements.</w:t>
      </w:r>
    </w:p>
    <w:p w:rsidR="00000000" w:rsidRPr="00091C71" w:rsidP="00091C71">
      <w:pPr>
        <w:pStyle w:val="Heading1"/>
      </w:pPr>
      <w:bookmarkStart w:id="3" w:name="O_959392"/>
      <w:bookmarkEnd w:id="3"/>
      <w:r w:rsidRPr="00091C71">
        <w:t>Pre-requisite Unit</w:t>
      </w:r>
    </w:p>
    <w:p w:rsidR="00000000" w:rsidRPr="00091C71" w:rsidP="001A731A">
      <w:pPr>
        <w:pStyle w:val="BodyText"/>
      </w:pPr>
      <w:r w:rsidRPr="00091C71">
        <w:t>RGRPSG201 Handle greyhounds</w:t>
      </w:r>
    </w:p>
    <w:p w:rsidR="00000000" w:rsidRPr="00091C71" w:rsidP="00091C71">
      <w:pPr>
        <w:pStyle w:val="Heading1"/>
      </w:pPr>
      <w:bookmarkStart w:id="4" w:name="O_959394"/>
      <w:bookmarkEnd w:id="4"/>
      <w:r w:rsidRPr="00091C71">
        <w:t>Unit Sector</w:t>
      </w:r>
    </w:p>
    <w:p w:rsidR="00000000" w:rsidRPr="00091C71" w:rsidP="001A731A">
      <w:pPr>
        <w:pStyle w:val="BodyText"/>
      </w:pPr>
      <w:r w:rsidRPr="00091C71">
        <w:t>Performance services greyhounds (PSG)</w:t>
      </w:r>
    </w:p>
    <w:p w:rsidR="00000000" w:rsidRPr="00091C71" w:rsidP="00091C71">
      <w:pPr>
        <w:pStyle w:val="Heading1"/>
      </w:pPr>
      <w:bookmarkStart w:id="5" w:name="O_959395"/>
      <w:bookmarkEnd w:id="5"/>
      <w:r w:rsidRPr="00091C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7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rPr>
                <w:rStyle w:val="SpecialBold"/>
              </w:rPr>
              <w:t>Performance</w:t>
            </w:r>
            <w:r w:rsidRPr="00091C71">
              <w:rPr>
                <w:rStyle w:val="SpecialBold"/>
              </w:rPr>
              <w:t xml:space="preserve"> Criteria</w:t>
            </w:r>
          </w:p>
        </w:tc>
      </w:tr>
      <w:tr w:rsidTr="001A7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7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>1. Recognise greyhound retirement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t>1.1 Identify greyhound racing industry protocols for racing greyhound retirement</w:t>
            </w:r>
          </w:p>
          <w:p w:rsidR="00000000" w:rsidRPr="00091C71" w:rsidP="00091C71">
            <w:pPr>
              <w:pStyle w:val="BodyText"/>
            </w:pPr>
            <w:r w:rsidRPr="00091C71">
              <w:t>1.2 Identify and follow ethical considerations in determining options for greyhounds, when it is determined that they are not suitable to race</w:t>
            </w:r>
          </w:p>
          <w:p w:rsidR="00000000" w:rsidRPr="00091C71" w:rsidP="00091C71">
            <w:pPr>
              <w:pStyle w:val="BodyText"/>
            </w:pPr>
            <w:r w:rsidRPr="00091C71">
              <w:t>1.3 Assess suitability of retiri</w:t>
            </w:r>
            <w:r w:rsidRPr="00091C71">
              <w:t>ng greyhounds as pets, for breeding or other options</w:t>
            </w:r>
          </w:p>
          <w:p w:rsidR="00000000" w:rsidRPr="00091C71" w:rsidP="00091C71">
            <w:pPr>
              <w:pStyle w:val="BodyText"/>
            </w:pPr>
            <w:r w:rsidRPr="00091C71">
              <w:t>1.4 Seek advice from workplace supervisors or colleagues on a preferred option or the need for behaviour assessment services</w:t>
            </w:r>
          </w:p>
          <w:p w:rsidR="00000000" w:rsidRPr="00091C71" w:rsidP="00091C71">
            <w:pPr>
              <w:pStyle w:val="BodyText"/>
            </w:pPr>
            <w:r w:rsidRPr="00091C71">
              <w:t>1.5 Identify factors in the early months of life and throughout the life cycle</w:t>
            </w:r>
            <w:r w:rsidRPr="00091C71">
              <w:t xml:space="preserve"> that will have an impact on greyhound rehoming, later in life</w:t>
            </w:r>
          </w:p>
          <w:p w:rsidR="00000000" w:rsidRPr="00091C71" w:rsidP="00091C71">
            <w:pPr>
              <w:pStyle w:val="BodyText"/>
            </w:pPr>
            <w:r w:rsidRPr="00091C71">
              <w:t>1.6 Identify potential adoption or fostering agencies</w:t>
            </w:r>
          </w:p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>1.7 Investigate the availability and access to greyhound behaviour assessment services or other specialist services</w:t>
            </w:r>
          </w:p>
        </w:tc>
      </w:tr>
      <w:tr w:rsidTr="001A7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>2. Prepare greyhound f</w:t>
            </w:r>
            <w:r w:rsidRPr="00091C71">
              <w:t xml:space="preserve">or rehoming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t>2.1 Modify greyhound daily living, exercise and feeding routines in order to prepare for rehoming</w:t>
            </w:r>
          </w:p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>2.2 Observe how the greyhound responds to the changes in routines and record any observations to behavioural changes</w:t>
            </w:r>
          </w:p>
        </w:tc>
      </w:tr>
      <w:tr w:rsidTr="001A73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>3. Lodge documents pertaini</w:t>
            </w:r>
            <w:r w:rsidRPr="00091C71">
              <w:t>ng to greyhound retirement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t>3.1 Lodge formal documentation relating to greyhound retirement with greyhound industry</w:t>
            </w:r>
          </w:p>
          <w:p w:rsidR="00000000" w:rsidRPr="00091C71" w:rsidP="00091C71">
            <w:pPr>
              <w:pStyle w:val="BodyText"/>
            </w:pPr>
            <w:r w:rsidRPr="00091C71">
              <w:t>3.2 Investigate adoption options and contact state greyhound adoption body</w:t>
            </w:r>
          </w:p>
          <w:p w:rsidR="00000000" w:rsidRPr="00091C71" w:rsidP="00091C71">
            <w:pPr>
              <w:pStyle w:val="BodyText"/>
            </w:pPr>
            <w:r w:rsidRPr="00091C71">
              <w:t>3.3 Assist with matching individual dogs with specific homes</w:t>
            </w:r>
          </w:p>
        </w:tc>
      </w:tr>
    </w:tbl>
    <w:p w:rsidR="00000000" w:rsidRPr="00091C71" w:rsidP="00091C71">
      <w:pPr>
        <w:pStyle w:val="BodyText"/>
      </w:pPr>
    </w:p>
    <w:p w:rsidR="00000000" w:rsidRPr="00091C71" w:rsidP="00091C71">
      <w:pPr>
        <w:pStyle w:val="AllowPageBreak"/>
      </w:pPr>
    </w:p>
    <w:p w:rsidR="00000000" w:rsidRPr="00091C71" w:rsidP="00091C71">
      <w:pPr>
        <w:pStyle w:val="Heading1"/>
      </w:pPr>
      <w:bookmarkStart w:id="6" w:name="O_959396"/>
      <w:bookmarkEnd w:id="6"/>
      <w:r w:rsidRPr="00091C71">
        <w:t>Foundation Skills</w:t>
      </w:r>
    </w:p>
    <w:p w:rsidR="00000000" w:rsidRPr="001A731A" w:rsidP="001A731A">
      <w:pPr>
        <w:pStyle w:val="BodyText"/>
        <w:rPr>
          <w:i/>
        </w:rPr>
      </w:pPr>
      <w:r w:rsidRPr="001A73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1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rPr>
                <w:rStyle w:val="SpecialBold"/>
              </w:rPr>
              <w:t>Description</w:t>
            </w:r>
          </w:p>
        </w:tc>
      </w:tr>
      <w:tr w:rsidTr="00091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ListBullet"/>
              <w:rPr>
                <w:lang w:val="en-NZ"/>
              </w:rPr>
            </w:pPr>
            <w:r w:rsidRPr="00091C71">
              <w:t>Use clear, specific and industry-related terminology to complete basic documentation on greyhound retirement</w:t>
            </w:r>
          </w:p>
        </w:tc>
      </w:tr>
      <w:tr w:rsidTr="00091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ListBullet"/>
            </w:pPr>
            <w:r w:rsidRPr="00091C71">
              <w:t xml:space="preserve">Discuss retirement and rehoming options with colleagues and individuals associated with greyhound adoption programs, in clear </w:t>
            </w:r>
            <w:r w:rsidRPr="00091C71">
              <w:t>language using industry terminology</w:t>
            </w:r>
          </w:p>
        </w:tc>
      </w:tr>
    </w:tbl>
    <w:p w:rsidR="00000000" w:rsidRPr="00091C71" w:rsidP="00091C71">
      <w:pPr>
        <w:pStyle w:val="BodyText"/>
      </w:pPr>
    </w:p>
    <w:p w:rsidR="00000000" w:rsidRPr="00091C71" w:rsidP="00091C71">
      <w:pPr>
        <w:pStyle w:val="AllowPageBreak"/>
      </w:pPr>
    </w:p>
    <w:p w:rsidR="00000000" w:rsidRPr="00091C71" w:rsidP="00091C71">
      <w:pPr>
        <w:pStyle w:val="Heading1"/>
      </w:pPr>
      <w:bookmarkStart w:id="7" w:name="O_959398"/>
      <w:bookmarkEnd w:id="7"/>
      <w:r w:rsidRPr="00091C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91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rPr>
                <w:rStyle w:val="SpecialBold"/>
              </w:rPr>
              <w:t>Equivalence status</w:t>
            </w:r>
          </w:p>
        </w:tc>
      </w:tr>
      <w:tr w:rsidTr="00091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>RGRPSG209 Ethically rehome a greyhound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C71">
            <w:pPr>
              <w:pStyle w:val="BodyText"/>
              <w:rPr>
                <w:lang w:val="en-NZ"/>
              </w:rPr>
            </w:pPr>
            <w:r w:rsidRPr="00091C71">
              <w:t xml:space="preserve">RGRPSG301A Supervise handling of greyhounds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t xml:space="preserve">Content of </w:t>
            </w:r>
            <w:r w:rsidRPr="00091C71">
              <w:rPr>
                <w:rStyle w:val="Emphasis"/>
              </w:rPr>
              <w:t>RGRPSG301A Supervise handling of greyhounds</w:t>
            </w:r>
            <w:r w:rsidRPr="00091C71">
              <w:t xml:space="preserve"> has been incorporated into:</w:t>
            </w:r>
          </w:p>
          <w:p w:rsidR="00000000" w:rsidRPr="00091C71" w:rsidP="00091C71">
            <w:pPr>
              <w:pStyle w:val="ListBullet"/>
            </w:pPr>
            <w:r w:rsidRPr="00091C71">
              <w:rPr>
                <w:rStyle w:val="Emphasis"/>
              </w:rPr>
              <w:t>RGRPSG208 Promote and enhance greyhound health and welfare</w:t>
            </w:r>
          </w:p>
          <w:p w:rsidR="00000000" w:rsidRPr="00091C71" w:rsidP="00091C71">
            <w:pPr>
              <w:pStyle w:val="ListBullet"/>
            </w:pPr>
            <w:r w:rsidRPr="00091C71">
              <w:rPr>
                <w:rStyle w:val="Emphasis"/>
              </w:rPr>
              <w:t>RGRPSG209 Ethically rehome a greyhound</w:t>
            </w:r>
          </w:p>
          <w:p w:rsidR="00000000" w:rsidP="00091C71">
            <w:pPr>
              <w:pStyle w:val="ListBullet"/>
              <w:rPr>
                <w:lang w:val="en-NZ"/>
              </w:rPr>
            </w:pPr>
            <w:r w:rsidRPr="00091C71">
              <w:rPr>
                <w:rStyle w:val="Emphasis"/>
              </w:rPr>
              <w:t>RGRPSG203 Promote and enhance greyhound behaviour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C71" w:rsidP="00091C71">
            <w:pPr>
              <w:pStyle w:val="BodyText"/>
            </w:pPr>
            <w:r w:rsidRPr="00091C71">
              <w:t>No equivalent unit</w:t>
            </w:r>
          </w:p>
        </w:tc>
      </w:tr>
    </w:tbl>
    <w:p w:rsidR="00000000" w:rsidRPr="00091C71" w:rsidP="00091C71">
      <w:pPr>
        <w:pStyle w:val="BodyText"/>
      </w:pPr>
    </w:p>
    <w:p w:rsidR="00000000" w:rsidRPr="00091C71" w:rsidP="00091C71">
      <w:pPr>
        <w:pStyle w:val="AllowPageBreak"/>
      </w:pPr>
    </w:p>
    <w:p w:rsidR="00000000" w:rsidRPr="00091C71" w:rsidP="00091C71">
      <w:pPr>
        <w:pStyle w:val="Heading1"/>
      </w:pPr>
      <w:bookmarkStart w:id="8" w:name="O_959405"/>
      <w:bookmarkEnd w:id="8"/>
      <w:r w:rsidRPr="00091C71">
        <w:t>Links</w:t>
      </w:r>
    </w:p>
    <w:p w:rsidR="00000000" w:rsidRPr="00091C71" w:rsidP="001A731A">
      <w:pPr>
        <w:pStyle w:val="BodyText"/>
      </w:pPr>
      <w:r w:rsidRPr="00091C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665B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91C71" w:rsidP="00091C71"/>
    <w:sectPr w:rsidSect="00091C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71" w:rsidRPr="001A731A" w:rsidP="001A7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31A" w:rsidP="00091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31A" w:rsidP="00091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731A" w:rsidP="00091C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C71" w:rsidRPr="001A731A" w:rsidP="001A7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C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31A" w:rsidRPr="002D2AF8" w:rsidP="00091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RGRPSG209 Ethically rehome a greyhound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A731A" w:rsidP="00091C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0CA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787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C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C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C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C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C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C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C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C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C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C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C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C71"/>
  </w:style>
  <w:style w:type="character" w:customStyle="1" w:styleId="Heading1Char">
    <w:name w:val="Heading 1 Char"/>
    <w:basedOn w:val="DefaultParagraphFont"/>
    <w:link w:val="Heading1"/>
    <w:rsid w:val="00091C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C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C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C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C71"/>
    <w:rPr>
      <w:b/>
      <w:spacing w:val="0"/>
    </w:rPr>
  </w:style>
  <w:style w:type="character" w:styleId="Emphasis">
    <w:name w:val="Emphasis"/>
    <w:basedOn w:val="DefaultParagraphFont"/>
    <w:qFormat/>
    <w:rsid w:val="00091C71"/>
    <w:rPr>
      <w:i/>
    </w:rPr>
  </w:style>
  <w:style w:type="paragraph" w:customStyle="1" w:styleId="SuperHeading">
    <w:name w:val="SuperHeading"/>
    <w:basedOn w:val="Normal"/>
    <w:rsid w:val="00091C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C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C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C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C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C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C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C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C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C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C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C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C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C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C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C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C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C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C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C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C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C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C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C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C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C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C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C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C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C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C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1C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C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C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C71"/>
  </w:style>
  <w:style w:type="paragraph" w:styleId="TableofFigures">
    <w:name w:val="table of figures"/>
    <w:basedOn w:val="Normal"/>
    <w:next w:val="Normal"/>
    <w:semiHidden/>
    <w:rsid w:val="00091C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C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C71"/>
    <w:rPr>
      <w:rFonts w:ascii="Wingdings" w:hAnsi="Wingdings"/>
    </w:rPr>
  </w:style>
  <w:style w:type="paragraph" w:customStyle="1" w:styleId="TableHeading">
    <w:name w:val="Table Heading"/>
    <w:basedOn w:val="HeadingBase"/>
    <w:rsid w:val="00091C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C71"/>
    <w:rPr>
      <w:color w:val="0033CC"/>
      <w:u w:val="none"/>
    </w:rPr>
  </w:style>
  <w:style w:type="paragraph" w:customStyle="1" w:styleId="BodyTextRight">
    <w:name w:val="Body Text Right"/>
    <w:basedOn w:val="BodyText"/>
    <w:rsid w:val="00091C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C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C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C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C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C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C71"/>
    <w:rPr>
      <w:sz w:val="32"/>
    </w:rPr>
  </w:style>
  <w:style w:type="paragraph" w:customStyle="1" w:styleId="HeadingProcedure">
    <w:name w:val="Heading Procedure"/>
    <w:basedOn w:val="HeadingBase"/>
    <w:next w:val="Normal"/>
    <w:rsid w:val="00091C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C71"/>
    <w:pPr>
      <w:spacing w:before="60" w:after="60"/>
    </w:pPr>
  </w:style>
  <w:style w:type="paragraph" w:styleId="ListContinue">
    <w:name w:val="List Continue"/>
    <w:basedOn w:val="List"/>
    <w:rsid w:val="00091C71"/>
    <w:pPr>
      <w:ind w:firstLine="0"/>
    </w:pPr>
  </w:style>
  <w:style w:type="paragraph" w:customStyle="1" w:styleId="ListNote">
    <w:name w:val="List Note"/>
    <w:basedOn w:val="List"/>
    <w:rsid w:val="00091C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C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C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C71"/>
    <w:rPr>
      <w:rFonts w:ascii="Courier New" w:hAnsi="Courier New"/>
    </w:rPr>
  </w:style>
  <w:style w:type="paragraph" w:customStyle="1" w:styleId="NoteBullet">
    <w:name w:val="Note Bullet"/>
    <w:basedOn w:val="Note"/>
    <w:rsid w:val="00091C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C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C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C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C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C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C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C71"/>
    <w:rPr>
      <w:b/>
      <w:smallCaps/>
    </w:rPr>
  </w:style>
  <w:style w:type="paragraph" w:customStyle="1" w:styleId="TableListNumber">
    <w:name w:val="Table List Number"/>
    <w:basedOn w:val="ListNumber"/>
    <w:rsid w:val="00091C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C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C71"/>
    <w:pPr>
      <w:numPr>
        <w:numId w:val="8"/>
      </w:numPr>
    </w:pPr>
  </w:style>
  <w:style w:type="paragraph" w:customStyle="1" w:styleId="ListAlpha2">
    <w:name w:val="List Alpha 2"/>
    <w:basedOn w:val="List2"/>
    <w:rsid w:val="00091C71"/>
    <w:pPr>
      <w:numPr>
        <w:numId w:val="7"/>
      </w:numPr>
    </w:pPr>
  </w:style>
  <w:style w:type="paragraph" w:styleId="List2">
    <w:name w:val="List 2"/>
    <w:basedOn w:val="BodyText"/>
    <w:rsid w:val="00091C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C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C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C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C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C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C71"/>
    <w:pPr>
      <w:numPr>
        <w:numId w:val="3"/>
      </w:numPr>
    </w:pPr>
  </w:style>
  <w:style w:type="paragraph" w:styleId="ListContinue2">
    <w:name w:val="List Continue 2"/>
    <w:basedOn w:val="List2"/>
    <w:rsid w:val="00091C71"/>
    <w:pPr>
      <w:ind w:firstLine="0"/>
    </w:pPr>
  </w:style>
  <w:style w:type="paragraph" w:styleId="ListContinue3">
    <w:name w:val="List Continue 3"/>
    <w:basedOn w:val="List3"/>
    <w:rsid w:val="00091C71"/>
    <w:pPr>
      <w:ind w:left="1021" w:firstLine="0"/>
    </w:pPr>
  </w:style>
  <w:style w:type="paragraph" w:styleId="ListContinue4">
    <w:name w:val="List Continue 4"/>
    <w:basedOn w:val="List4"/>
    <w:rsid w:val="00091C71"/>
    <w:pPr>
      <w:ind w:firstLine="0"/>
    </w:pPr>
  </w:style>
  <w:style w:type="paragraph" w:styleId="ListContinue5">
    <w:name w:val="List Continue 5"/>
    <w:basedOn w:val="List5"/>
    <w:rsid w:val="00091C71"/>
    <w:pPr>
      <w:ind w:firstLine="0"/>
    </w:pPr>
  </w:style>
  <w:style w:type="paragraph" w:styleId="ListNumber3">
    <w:name w:val="List Number 3"/>
    <w:basedOn w:val="List3"/>
    <w:rsid w:val="00091C71"/>
    <w:pPr>
      <w:numPr>
        <w:numId w:val="4"/>
      </w:numPr>
    </w:pPr>
  </w:style>
  <w:style w:type="paragraph" w:styleId="ListNumber4">
    <w:name w:val="List Number 4"/>
    <w:basedOn w:val="List4"/>
    <w:rsid w:val="00091C71"/>
    <w:pPr>
      <w:numPr>
        <w:numId w:val="5"/>
      </w:numPr>
    </w:pPr>
  </w:style>
  <w:style w:type="paragraph" w:styleId="ListNumber5">
    <w:name w:val="List Number 5"/>
    <w:basedOn w:val="List5"/>
    <w:rsid w:val="00091C71"/>
    <w:pPr>
      <w:numPr>
        <w:numId w:val="6"/>
      </w:numPr>
    </w:pPr>
  </w:style>
  <w:style w:type="paragraph" w:styleId="BlockText">
    <w:name w:val="Block Text"/>
    <w:basedOn w:val="Normal"/>
    <w:rsid w:val="00091C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C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C71"/>
    <w:rPr>
      <w:sz w:val="16"/>
      <w:vertAlign w:val="superscript"/>
    </w:rPr>
  </w:style>
  <w:style w:type="character" w:customStyle="1" w:styleId="Symbols">
    <w:name w:val="Symbols"/>
    <w:basedOn w:val="DefaultParagraphFont"/>
    <w:rsid w:val="00091C71"/>
    <w:rPr>
      <w:rFonts w:ascii="Symbol" w:hAnsi="Symbol"/>
    </w:rPr>
  </w:style>
  <w:style w:type="character" w:customStyle="1" w:styleId="MenuOptions">
    <w:name w:val="Menu Options"/>
    <w:basedOn w:val="DefaultParagraphFont"/>
    <w:rsid w:val="00091C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C71"/>
    <w:rPr>
      <w:b/>
    </w:rPr>
  </w:style>
  <w:style w:type="character" w:customStyle="1" w:styleId="Underlined">
    <w:name w:val="Underlined"/>
    <w:basedOn w:val="DefaultParagraphFont"/>
    <w:rsid w:val="00091C71"/>
    <w:rPr>
      <w:u w:val="single"/>
    </w:rPr>
  </w:style>
  <w:style w:type="paragraph" w:customStyle="1" w:styleId="TableBodyTextRight">
    <w:name w:val="Table Body Text Right"/>
    <w:basedOn w:val="TableBodyText"/>
    <w:rsid w:val="00091C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C71"/>
    <w:rPr>
      <w:sz w:val="18"/>
    </w:rPr>
  </w:style>
  <w:style w:type="paragraph" w:customStyle="1" w:styleId="BodySmallRight">
    <w:name w:val="Body Small Right"/>
    <w:basedOn w:val="BodyTextRight"/>
    <w:rsid w:val="00091C71"/>
    <w:rPr>
      <w:sz w:val="18"/>
      <w:szCs w:val="18"/>
    </w:rPr>
  </w:style>
  <w:style w:type="paragraph" w:customStyle="1" w:styleId="MarginEdition">
    <w:name w:val="Margin Edition"/>
    <w:basedOn w:val="MarginNote"/>
    <w:rsid w:val="00091C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C71"/>
    <w:rPr>
      <w:sz w:val="2"/>
      <w:szCs w:val="2"/>
    </w:rPr>
  </w:style>
  <w:style w:type="character" w:customStyle="1" w:styleId="Small">
    <w:name w:val="Small"/>
    <w:basedOn w:val="DefaultParagraphFont"/>
    <w:rsid w:val="00091C71"/>
    <w:rPr>
      <w:sz w:val="16"/>
    </w:rPr>
  </w:style>
  <w:style w:type="paragraph" w:customStyle="1" w:styleId="WideTable">
    <w:name w:val="Wide Table"/>
    <w:basedOn w:val="Normal"/>
    <w:rsid w:val="00091C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C71"/>
  </w:style>
  <w:style w:type="paragraph" w:styleId="Quote">
    <w:name w:val="Quote"/>
    <w:basedOn w:val="Heading1"/>
    <w:link w:val="QuoteChar"/>
    <w:qFormat/>
    <w:rsid w:val="00091C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C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C71"/>
    <w:pPr>
      <w:pageBreakBefore/>
    </w:pPr>
  </w:style>
  <w:style w:type="paragraph" w:customStyle="1" w:styleId="Border">
    <w:name w:val="Border"/>
    <w:basedOn w:val="Normal"/>
    <w:qFormat/>
    <w:rsid w:val="00091C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C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C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C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C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C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C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C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C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C71"/>
    <w:rPr>
      <w:u w:val="single"/>
    </w:rPr>
  </w:style>
  <w:style w:type="character" w:customStyle="1" w:styleId="BoldandItalics">
    <w:name w:val="Bold and Italics"/>
    <w:qFormat/>
    <w:rsid w:val="00091C71"/>
    <w:rPr>
      <w:b/>
      <w:i/>
      <w:u w:val="none"/>
    </w:rPr>
  </w:style>
  <w:style w:type="paragraph" w:styleId="BalloonText">
    <w:name w:val="Balloon Text"/>
    <w:basedOn w:val="Normal"/>
    <w:link w:val="BalloonTextChar"/>
    <w:rsid w:val="00091C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C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C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C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C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C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C71"/>
    <w:pPr>
      <w:spacing w:before="0" w:after="0"/>
    </w:pPr>
  </w:style>
  <w:style w:type="paragraph" w:customStyle="1" w:styleId="BodyTextBold">
    <w:name w:val="Body Text Bold"/>
    <w:basedOn w:val="BodyText"/>
    <w:qFormat/>
    <w:rsid w:val="00091C71"/>
    <w:rPr>
      <w:b/>
    </w:rPr>
  </w:style>
  <w:style w:type="character" w:styleId="Hyperlink">
    <w:name w:val="Hyperlink"/>
    <w:basedOn w:val="DefaultParagraphFont"/>
    <w:uiPriority w:val="99"/>
    <w:unhideWhenUsed/>
    <w:rsid w:val="001A7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3328</Characters>
  <Application>Microsoft Office Word</Application>
  <DocSecurity>0</DocSecurity>
  <Lines>128</Lines>
  <Paragraphs>69</Paragraphs>
  <ScaleCrop>false</ScaleCrop>
  <Company>Author-it Software Corporation Ltd.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RGRPSG209 Ethically rehome a greyhound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