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B28" w:rsidP="004E0B28">
      <w:pPr>
        <w:pStyle w:val="Title"/>
      </w:pPr>
      <w:r>
        <w:fldChar w:fldCharType="begin"/>
      </w:r>
      <w:r>
        <w:instrText xml:space="preserve"> TITLE   \* MERGEFORMAT </w:instrText>
      </w:r>
      <w:r>
        <w:fldChar w:fldCharType="separate"/>
      </w:r>
      <w:r>
        <w:t>PUAFIR320 Render hazardous materials incidents safe</w:t>
      </w:r>
      <w:r>
        <w:fldChar w:fldCharType="end"/>
      </w:r>
    </w:p>
    <w:p w:rsidR="004E0B28" w:rsidP="004E0B28">
      <w:pPr>
        <w:pStyle w:val="Version"/>
        <w:sectPr w:rsidSect="000308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30812" w:rsidP="00030812">
      <w:pPr>
        <w:pStyle w:val="SuperHeading"/>
      </w:pPr>
      <w:r w:rsidRPr="00030812">
        <w:t>PUAFIR320 Render hazardous materials incidents safe</w:t>
      </w:r>
    </w:p>
    <w:p w:rsidR="00000000" w:rsidRPr="00030812" w:rsidP="00030812">
      <w:pPr>
        <w:pStyle w:val="Heading1"/>
      </w:pPr>
      <w:bookmarkStart w:id="1" w:name="O_570015"/>
      <w:bookmarkEnd w:id="1"/>
      <w:r w:rsidRPr="00030812">
        <w:t>Modification History</w:t>
      </w:r>
    </w:p>
    <w:tbl>
      <w:tblPr>
        <w:tblW w:w="0" w:type="auto"/>
        <w:tblLayout w:type="fixed"/>
        <w:tblCellMar>
          <w:left w:w="62" w:type="dxa"/>
          <w:right w:w="62" w:type="dxa"/>
        </w:tblCellMar>
        <w:tblLook w:val="0000"/>
      </w:tblPr>
      <w:tblGrid>
        <w:gridCol w:w="1134"/>
        <w:gridCol w:w="1701"/>
        <w:gridCol w:w="4536"/>
      </w:tblGrid>
      <w:tr w:rsidTr="004E0B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2" w:rsidP="00030812">
            <w:pPr>
              <w:pStyle w:val="BodyText"/>
            </w:pPr>
            <w:r w:rsidRPr="00030812">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2" w:rsidP="00030812">
            <w:pPr>
              <w:pStyle w:val="BodyText"/>
            </w:pPr>
            <w:r w:rsidRPr="00030812">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2">
            <w:pPr>
              <w:pStyle w:val="BodyText"/>
              <w:rPr>
                <w:lang w:val="en-NZ"/>
              </w:rPr>
            </w:pPr>
            <w:r w:rsidRPr="00030812">
              <w:rPr>
                <w:rStyle w:val="SpecialBold"/>
              </w:rPr>
              <w:t>Comments</w:t>
            </w:r>
          </w:p>
        </w:tc>
      </w:tr>
      <w:tr w:rsidTr="004E0B28">
        <w:tblPrEx>
          <w:tblW w:w="0" w:type="auto"/>
          <w:tblLayout w:type="fixed"/>
          <w:tblCellMar>
            <w:left w:w="62" w:type="dxa"/>
            <w:right w:w="62" w:type="dxa"/>
          </w:tblCellMar>
          <w:tblLook w:val="0000"/>
        </w:tblPrEx>
        <w:trPr>
          <w:trHeight w:val="617"/>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2">
            <w:pPr>
              <w:pStyle w:val="BodyText"/>
              <w:rPr>
                <w:lang w:val="en-NZ"/>
              </w:rPr>
            </w:pPr>
            <w:r w:rsidRPr="00030812">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2">
            <w:pPr>
              <w:pStyle w:val="BodyText"/>
              <w:rPr>
                <w:lang w:val="en-NZ"/>
              </w:rPr>
            </w:pPr>
            <w:r w:rsidRPr="00030812">
              <w:t>PUA12 V2.1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2">
            <w:pPr>
              <w:pStyle w:val="BodyText"/>
              <w:rPr>
                <w:lang w:val="en-NZ"/>
              </w:rPr>
            </w:pPr>
            <w:r w:rsidRPr="00030812">
              <w:t xml:space="preserve">Editorial changes. </w:t>
            </w:r>
          </w:p>
        </w:tc>
      </w:tr>
      <w:tr w:rsidTr="004E0B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2">
            <w:pPr>
              <w:pStyle w:val="BodyText"/>
              <w:rPr>
                <w:lang w:val="en-NZ"/>
              </w:rPr>
            </w:pPr>
            <w:r w:rsidRPr="00030812">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2">
            <w:pPr>
              <w:pStyle w:val="BodyText"/>
              <w:rPr>
                <w:lang w:val="en-NZ"/>
              </w:rPr>
            </w:pPr>
            <w:r w:rsidRPr="00030812">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2" w:rsidP="00030812">
            <w:pPr>
              <w:pStyle w:val="BodyText"/>
            </w:pPr>
            <w:r w:rsidRPr="00030812">
              <w:t>New Unit. Replaces unit PUAFIR306B Render hazardous materials incidents safe.</w:t>
            </w:r>
          </w:p>
        </w:tc>
      </w:tr>
    </w:tbl>
    <w:p w:rsidR="004E0B28" w:rsidP="00030812">
      <w:pPr>
        <w:pStyle w:val="BodyText"/>
      </w:pPr>
    </w:p>
    <w:p w:rsidR="004E0B28" w:rsidP="00030812">
      <w:pPr>
        <w:pStyle w:val="BodyText"/>
      </w:pPr>
    </w:p>
    <w:p w:rsidR="00000000" w:rsidRPr="00030812" w:rsidP="00030812">
      <w:pPr>
        <w:pStyle w:val="Heading1"/>
      </w:pPr>
      <w:bookmarkStart w:id="2" w:name="O_570014"/>
      <w:bookmarkEnd w:id="2"/>
      <w:r w:rsidRPr="00030812">
        <w:t>Unit Descriptor</w:t>
      </w:r>
    </w:p>
    <w:p w:rsidR="00000000" w:rsidRPr="00030812" w:rsidP="00030812">
      <w:pPr>
        <w:pStyle w:val="BodyText"/>
      </w:pPr>
      <w:r w:rsidRPr="00030812">
        <w:t xml:space="preserve">This unit covers the competency required to safely combat incidents involving hazardous materials. </w:t>
      </w:r>
    </w:p>
    <w:p w:rsidR="004E0B28" w:rsidP="00030812">
      <w:pPr>
        <w:pStyle w:val="BodyText"/>
      </w:pPr>
      <w:r w:rsidRPr="00030812">
        <w:t>No licensing, legislative, regulatory or certification requirements apply to this unit at the time of publication.</w:t>
      </w:r>
    </w:p>
    <w:p w:rsidR="004E0B28" w:rsidP="00030812">
      <w:pPr>
        <w:pStyle w:val="BodyText"/>
      </w:pPr>
    </w:p>
    <w:p w:rsidR="00000000" w:rsidRPr="00030812" w:rsidP="00030812">
      <w:pPr>
        <w:pStyle w:val="Heading1"/>
      </w:pPr>
      <w:bookmarkStart w:id="3" w:name="O_570013"/>
      <w:bookmarkEnd w:id="3"/>
      <w:r w:rsidRPr="00030812">
        <w:t>Application of the Unit</w:t>
      </w:r>
    </w:p>
    <w:p w:rsidR="00000000" w:rsidRPr="00030812" w:rsidP="00030812">
      <w:pPr>
        <w:pStyle w:val="BodyText"/>
      </w:pPr>
      <w:r w:rsidRPr="00030812">
        <w:t>This unit applies to personnel who respond to an incident involving dangerous goods and hazardous substances and who have the skills and knowledge to identify and assess the hazards and risks and contribute to the development, implementation and review of</w:t>
      </w:r>
      <w:r w:rsidRPr="00030812">
        <w:t xml:space="preserve"> the plan constructed to mitigate the risk they pose the public and environment.</w:t>
      </w:r>
    </w:p>
    <w:p w:rsidR="004E0B28" w:rsidP="00030812">
      <w:pPr>
        <w:pStyle w:val="BodyText"/>
      </w:pPr>
      <w:r w:rsidRPr="00030812">
        <w:t>‘Hazardous materials incident’ is a generic term used to refer to an incident involving any material such as dangerous goods and hazardous substances that poses an unreasonabl</w:t>
      </w:r>
      <w:r w:rsidRPr="00030812">
        <w:t>e risk to life, property and the environment.</w:t>
      </w:r>
    </w:p>
    <w:p w:rsidR="004E0B28" w:rsidP="00030812">
      <w:pPr>
        <w:pStyle w:val="BodyText"/>
      </w:pPr>
    </w:p>
    <w:p w:rsidR="00000000" w:rsidRPr="00030812" w:rsidP="00030812">
      <w:pPr>
        <w:pStyle w:val="Heading1"/>
      </w:pPr>
      <w:bookmarkStart w:id="4" w:name="O_570012"/>
      <w:bookmarkEnd w:id="4"/>
      <w:r w:rsidRPr="00030812">
        <w:t>Licensing/Regulatory Information</w:t>
      </w:r>
    </w:p>
    <w:p w:rsidR="00000000" w:rsidRPr="00030812" w:rsidP="00030812">
      <w:pPr>
        <w:pStyle w:val="BodyText"/>
      </w:pPr>
      <w:r w:rsidRPr="00030812">
        <w:t>Not applicable.</w:t>
      </w:r>
    </w:p>
    <w:p w:rsidR="00000000" w:rsidRPr="00030812" w:rsidP="00030812">
      <w:pPr>
        <w:pStyle w:val="AllowPageBreak"/>
      </w:pPr>
    </w:p>
    <w:p w:rsidR="00000000" w:rsidRPr="00030812" w:rsidP="00030812">
      <w:pPr>
        <w:pStyle w:val="Heading1"/>
      </w:pPr>
      <w:bookmarkStart w:id="5" w:name="O_570011"/>
      <w:bookmarkEnd w:id="5"/>
      <w:r w:rsidRPr="00030812">
        <w:t>Pre-Requisites</w:t>
      </w:r>
    </w:p>
    <w:p w:rsidR="00000000" w:rsidRPr="00030812" w:rsidP="00030812">
      <w:pPr>
        <w:pStyle w:val="BodyText"/>
      </w:pPr>
      <w:r w:rsidRPr="00030812">
        <w:t>PUAFIR215 Prevent injury</w:t>
      </w:r>
    </w:p>
    <w:p w:rsidR="00000000" w:rsidRPr="00030812" w:rsidP="00030812">
      <w:pPr>
        <w:pStyle w:val="AllowPageBreak"/>
      </w:pPr>
    </w:p>
    <w:p w:rsidR="00000000" w:rsidRPr="00030812" w:rsidP="00030812">
      <w:pPr>
        <w:pStyle w:val="Heading1"/>
      </w:pPr>
      <w:bookmarkStart w:id="6" w:name="O_570010"/>
      <w:bookmarkEnd w:id="6"/>
      <w:r w:rsidRPr="00030812">
        <w:t>Employability Skills Information</w:t>
      </w:r>
    </w:p>
    <w:p w:rsidR="00000000" w:rsidRPr="00030812" w:rsidP="00030812">
      <w:pPr>
        <w:pStyle w:val="BodyText"/>
      </w:pPr>
      <w:r w:rsidRPr="00030812">
        <w:t>This unit contains employability ski</w:t>
      </w:r>
      <w:r w:rsidRPr="00030812">
        <w:t>lls.</w:t>
      </w:r>
    </w:p>
    <w:p w:rsidR="00000000" w:rsidRPr="00030812" w:rsidP="00030812">
      <w:pPr>
        <w:pStyle w:val="AllowPageBreak"/>
      </w:pPr>
    </w:p>
    <w:p w:rsidR="00000000" w:rsidRPr="00030812" w:rsidP="00030812">
      <w:pPr>
        <w:pStyle w:val="Heading1"/>
      </w:pPr>
      <w:bookmarkStart w:id="7" w:name="O_570009"/>
      <w:bookmarkEnd w:id="7"/>
      <w:r w:rsidRPr="00030812">
        <w:t>Elements and Performance Criteria Pre-Content</w:t>
      </w:r>
    </w:p>
    <w:tbl>
      <w:tblPr>
        <w:tblW w:w="0" w:type="auto"/>
        <w:tblLayout w:type="fixed"/>
        <w:tblCellMar>
          <w:left w:w="62" w:type="dxa"/>
          <w:right w:w="62" w:type="dxa"/>
        </w:tblCellMar>
        <w:tblLook w:val="0000"/>
      </w:tblPr>
      <w:tblGrid>
        <w:gridCol w:w="3060"/>
        <w:gridCol w:w="5580"/>
      </w:tblGrid>
      <w:tr w:rsidTr="000308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0812">
            <w:pPr>
              <w:pStyle w:val="BodyText"/>
              <w:rPr>
                <w:lang w:val="en-NZ"/>
              </w:rPr>
            </w:pPr>
            <w:r w:rsidRPr="00030812">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030812" w:rsidP="00030812">
            <w:pPr>
              <w:pStyle w:val="BodyText"/>
            </w:pPr>
            <w:r w:rsidRPr="00030812">
              <w:t xml:space="preserve">Performance Criteria describe the required performance needed to demonstrate achievement of the element. Where </w:t>
            </w:r>
            <w:r w:rsidRPr="00030812">
              <w:rPr>
                <w:rStyle w:val="BoldandItalics"/>
              </w:rPr>
              <w:t>bold italic</w:t>
            </w:r>
            <w:r w:rsidRPr="00030812">
              <w:rPr>
                <w:rStyle w:val="BoldandItalics"/>
              </w:rPr>
              <w:t>ised</w:t>
            </w:r>
            <w:r w:rsidRPr="00030812">
              <w:t xml:space="preserve"> text is used, further information is detailed in the Range Statement. Assessment of performance is to be consistent with the Evidence Guide.</w:t>
            </w:r>
          </w:p>
        </w:tc>
      </w:tr>
    </w:tbl>
    <w:p w:rsidR="004E0B28" w:rsidP="00030812">
      <w:pPr>
        <w:pStyle w:val="BodyText"/>
      </w:pPr>
    </w:p>
    <w:p w:rsidR="004E0B28" w:rsidP="00030812">
      <w:pPr>
        <w:pStyle w:val="BodyText"/>
      </w:pPr>
    </w:p>
    <w:p w:rsidR="00000000" w:rsidRPr="00030812" w:rsidP="00030812">
      <w:pPr>
        <w:pStyle w:val="Heading1"/>
      </w:pPr>
      <w:bookmarkStart w:id="8" w:name="O_570008"/>
      <w:bookmarkEnd w:id="8"/>
      <w:r w:rsidRPr="00030812">
        <w:t>Elements and Performance Criteria</w:t>
      </w:r>
    </w:p>
    <w:tbl>
      <w:tblPr>
        <w:tblW w:w="0" w:type="auto"/>
        <w:tblLayout w:type="fixed"/>
        <w:tblCellMar>
          <w:left w:w="62" w:type="dxa"/>
          <w:right w:w="62" w:type="dxa"/>
        </w:tblCellMar>
        <w:tblLook w:val="0000"/>
      </w:tblPr>
      <w:tblGrid>
        <w:gridCol w:w="3060"/>
        <w:gridCol w:w="5580"/>
      </w:tblGrid>
      <w:tr w:rsidTr="000308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30812" w:rsidP="00030812">
            <w:pPr>
              <w:pStyle w:val="List"/>
            </w:pPr>
            <w:r w:rsidRPr="00030812">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030812">
            <w:pPr>
              <w:pStyle w:val="List"/>
              <w:rPr>
                <w:lang w:val="en-NZ"/>
              </w:rPr>
            </w:pPr>
            <w:r w:rsidRPr="00030812">
              <w:rPr>
                <w:rStyle w:val="SpecialBold"/>
              </w:rPr>
              <w:t>PERFORMANCE CRITERIA</w:t>
            </w:r>
          </w:p>
        </w:tc>
      </w:tr>
      <w:tr w:rsidTr="000308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0812">
            <w:pPr>
              <w:pStyle w:val="List"/>
              <w:rPr>
                <w:lang w:val="en-NZ"/>
              </w:rPr>
            </w:pPr>
            <w:r w:rsidRPr="00030812">
              <w:rPr>
                <w:rStyle w:val="SpecialBold"/>
              </w:rPr>
              <w:t>1.</w:t>
            </w:r>
            <w:r w:rsidRPr="00030812">
              <w:rPr>
                <w:rStyle w:val="SpecialBold"/>
              </w:rPr>
              <w:tab/>
            </w:r>
            <w:r w:rsidRPr="00030812">
              <w:rPr>
                <w:rStyle w:val="SpecialBold"/>
              </w:rPr>
              <w:t>Recognise a hazardous materials incident</w:t>
            </w:r>
          </w:p>
        </w:tc>
        <w:tc>
          <w:tcPr>
            <w:tcW w:w="5580" w:type="dxa"/>
            <w:tcBorders>
              <w:top w:val="nil"/>
              <w:left w:val="nil"/>
              <w:bottom w:val="nil"/>
              <w:right w:val="nil"/>
            </w:tcBorders>
            <w:tcMar>
              <w:top w:w="0" w:type="dxa"/>
              <w:left w:w="62" w:type="dxa"/>
              <w:bottom w:w="0" w:type="dxa"/>
              <w:right w:w="62" w:type="dxa"/>
            </w:tcMar>
          </w:tcPr>
          <w:p w:rsidR="00000000" w:rsidRPr="00030812" w:rsidP="00030812">
            <w:pPr>
              <w:pStyle w:val="List"/>
            </w:pPr>
            <w:r w:rsidRPr="00030812">
              <w:t>1.1</w:t>
            </w:r>
            <w:r w:rsidRPr="00030812">
              <w:tab/>
              <w:t>Pre-incident plans, site control and containment plan and directives from supervisor are identified and implemented.</w:t>
            </w:r>
          </w:p>
          <w:p w:rsidR="00000000" w:rsidRPr="00030812" w:rsidP="00030812">
            <w:pPr>
              <w:pStyle w:val="List"/>
            </w:pPr>
            <w:r w:rsidRPr="00030812">
              <w:t>1.2</w:t>
            </w:r>
            <w:r w:rsidRPr="00030812">
              <w:tab/>
              <w:t>Incident is approached using care and caution, and a safe distance is maintained, in accor</w:t>
            </w:r>
            <w:r w:rsidRPr="00030812">
              <w:t xml:space="preserve">dance with </w:t>
            </w:r>
            <w:r w:rsidRPr="00030812">
              <w:rPr>
                <w:rStyle w:val="BoldandItalics"/>
              </w:rPr>
              <w:t>organisational</w:t>
            </w:r>
            <w:r w:rsidRPr="00030812">
              <w:t xml:space="preserve"> </w:t>
            </w:r>
            <w:r w:rsidRPr="00030812">
              <w:rPr>
                <w:rStyle w:val="BoldandItalics"/>
              </w:rPr>
              <w:t>procedures</w:t>
            </w:r>
            <w:r w:rsidRPr="00030812">
              <w:t xml:space="preserve"> or</w:t>
            </w:r>
            <w:r w:rsidRPr="00030812">
              <w:rPr>
                <w:rStyle w:val="BoldandItalics"/>
              </w:rPr>
              <w:t xml:space="preserve"> guidelines,</w:t>
            </w:r>
            <w:r w:rsidRPr="00030812">
              <w:t xml:space="preserve"> and/or advice from appropriate authorities.</w:t>
            </w:r>
          </w:p>
          <w:p w:rsidR="00000000" w:rsidP="00030812">
            <w:pPr>
              <w:pStyle w:val="List"/>
              <w:rPr>
                <w:lang w:val="en-NZ"/>
              </w:rPr>
            </w:pPr>
            <w:r w:rsidRPr="00030812">
              <w:t>1.3</w:t>
            </w:r>
            <w:r w:rsidRPr="00030812">
              <w:tab/>
              <w:t xml:space="preserve">Hazardous materials are </w:t>
            </w:r>
            <w:r w:rsidRPr="00030812">
              <w:rPr>
                <w:rStyle w:val="BoldandItalics"/>
              </w:rPr>
              <w:t>identified</w:t>
            </w:r>
            <w:r w:rsidRPr="00030812">
              <w:t xml:space="preserve"> from a safe distance and using a </w:t>
            </w:r>
            <w:r w:rsidRPr="00030812">
              <w:rPr>
                <w:rStyle w:val="BoldandItalics"/>
              </w:rPr>
              <w:t>range of sources</w:t>
            </w:r>
            <w:r w:rsidRPr="00030812">
              <w:t xml:space="preserve"> and information is conveyed to supervisor in accordance with organisati</w:t>
            </w:r>
            <w:r w:rsidRPr="00030812">
              <w:t>onal guidelines.</w:t>
            </w:r>
          </w:p>
        </w:tc>
      </w:tr>
      <w:tr w:rsidTr="000308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0812">
            <w:pPr>
              <w:pStyle w:val="List"/>
              <w:rPr>
                <w:lang w:val="en-NZ"/>
              </w:rPr>
            </w:pPr>
            <w:r w:rsidRPr="00030812">
              <w:rPr>
                <w:rStyle w:val="SpecialBold"/>
              </w:rPr>
              <w:t>2.</w:t>
            </w:r>
            <w:r w:rsidRPr="00030812">
              <w:rPr>
                <w:rStyle w:val="SpecialBold"/>
              </w:rPr>
              <w:tab/>
              <w:t>Identify and assess hazards</w:t>
            </w:r>
          </w:p>
        </w:tc>
        <w:tc>
          <w:tcPr>
            <w:tcW w:w="5580" w:type="dxa"/>
            <w:tcBorders>
              <w:top w:val="nil"/>
              <w:left w:val="nil"/>
              <w:bottom w:val="nil"/>
              <w:right w:val="nil"/>
            </w:tcBorders>
            <w:tcMar>
              <w:top w:w="0" w:type="dxa"/>
              <w:left w:w="62" w:type="dxa"/>
              <w:bottom w:w="0" w:type="dxa"/>
              <w:right w:w="62" w:type="dxa"/>
            </w:tcMar>
          </w:tcPr>
          <w:p w:rsidR="00000000" w:rsidRPr="00030812" w:rsidP="00030812">
            <w:pPr>
              <w:pStyle w:val="List"/>
            </w:pPr>
            <w:r w:rsidRPr="00030812">
              <w:t>2.1</w:t>
            </w:r>
            <w:r w:rsidRPr="00030812">
              <w:tab/>
              <w:t>Site hazards are identified in accordance with organisational guidelines.</w:t>
            </w:r>
          </w:p>
          <w:p w:rsidR="00000000" w:rsidRPr="00030812" w:rsidP="00030812">
            <w:pPr>
              <w:pStyle w:val="List"/>
            </w:pPr>
            <w:r w:rsidRPr="00030812">
              <w:t>2.2</w:t>
            </w:r>
            <w:r w:rsidRPr="00030812">
              <w:tab/>
              <w:t>Hazards relating to the material/s and container/s are identified in accordance with organisational guidelines.</w:t>
            </w:r>
          </w:p>
          <w:p w:rsidR="00000000" w:rsidP="00030812">
            <w:pPr>
              <w:pStyle w:val="List"/>
              <w:rPr>
                <w:lang w:val="en-NZ"/>
              </w:rPr>
            </w:pPr>
            <w:r w:rsidRPr="00030812">
              <w:t>2.3</w:t>
            </w:r>
            <w:r w:rsidRPr="00030812">
              <w:tab/>
              <w:t>Hazards a</w:t>
            </w:r>
            <w:r w:rsidRPr="00030812">
              <w:t>re assessed in accordance with organisational guidelines and information is conveyed to supervisor.</w:t>
            </w:r>
          </w:p>
        </w:tc>
      </w:tr>
      <w:tr w:rsidTr="000308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0812">
            <w:pPr>
              <w:pStyle w:val="List"/>
              <w:rPr>
                <w:lang w:val="en-NZ"/>
              </w:rPr>
            </w:pPr>
            <w:r w:rsidRPr="00030812">
              <w:rPr>
                <w:rStyle w:val="SpecialBold"/>
              </w:rPr>
              <w:t>3.</w:t>
            </w:r>
            <w:r w:rsidRPr="00030812">
              <w:rPr>
                <w:rStyle w:val="SpecialBold"/>
              </w:rPr>
              <w:tab/>
              <w:t>Assist with the development of a plan for the mitigation of a HAZMAT incident</w:t>
            </w:r>
          </w:p>
        </w:tc>
        <w:tc>
          <w:tcPr>
            <w:tcW w:w="5580" w:type="dxa"/>
            <w:tcBorders>
              <w:top w:val="nil"/>
              <w:left w:val="nil"/>
              <w:bottom w:val="nil"/>
              <w:right w:val="nil"/>
            </w:tcBorders>
            <w:tcMar>
              <w:top w:w="0" w:type="dxa"/>
              <w:left w:w="62" w:type="dxa"/>
              <w:bottom w:w="0" w:type="dxa"/>
              <w:right w:w="62" w:type="dxa"/>
            </w:tcMar>
          </w:tcPr>
          <w:p w:rsidR="00000000" w:rsidRPr="00030812" w:rsidP="00030812">
            <w:pPr>
              <w:pStyle w:val="List"/>
            </w:pPr>
            <w:r w:rsidRPr="00030812">
              <w:t>3.1</w:t>
            </w:r>
            <w:r w:rsidRPr="00030812">
              <w:tab/>
            </w:r>
            <w:r w:rsidRPr="00030812">
              <w:t>Incident objectives are identified in accordance with organisational policies.</w:t>
            </w:r>
          </w:p>
          <w:p w:rsidR="00000000" w:rsidRPr="00030812" w:rsidP="00030812">
            <w:pPr>
              <w:pStyle w:val="List"/>
            </w:pPr>
            <w:r w:rsidRPr="00030812">
              <w:t>3.2</w:t>
            </w:r>
            <w:r w:rsidRPr="00030812">
              <w:tab/>
              <w:t>Risk control measures are identified and conveyed to supervisor.</w:t>
            </w:r>
          </w:p>
          <w:p w:rsidR="00000000" w:rsidRPr="00030812" w:rsidP="00030812">
            <w:pPr>
              <w:pStyle w:val="List"/>
            </w:pPr>
            <w:r w:rsidRPr="00030812">
              <w:t>3.3</w:t>
            </w:r>
            <w:r w:rsidRPr="00030812">
              <w:tab/>
              <w:t>Entry objectives are identified and conveyed to supervisor.</w:t>
            </w:r>
          </w:p>
          <w:p w:rsidR="00000000" w:rsidRPr="00030812" w:rsidP="00030812">
            <w:pPr>
              <w:pStyle w:val="List"/>
            </w:pPr>
            <w:r w:rsidRPr="00030812">
              <w:t>3.4</w:t>
            </w:r>
            <w:r w:rsidRPr="00030812">
              <w:tab/>
            </w:r>
            <w:r w:rsidRPr="00030812">
              <w:t>Entry plan is developed and documented in accordance with supervisor directives and organisational policies as required.</w:t>
            </w:r>
          </w:p>
          <w:p w:rsidR="00000000" w:rsidRPr="00030812" w:rsidP="00030812">
            <w:pPr>
              <w:pStyle w:val="List"/>
            </w:pPr>
            <w:r w:rsidRPr="00030812">
              <w:t>3.5</w:t>
            </w:r>
            <w:r w:rsidRPr="00030812">
              <w:tab/>
              <w:t>Personal protective equipment (PPE) is considered in accordance with organisational policies.</w:t>
            </w:r>
          </w:p>
          <w:p w:rsidR="00000000" w:rsidRPr="00030812" w:rsidP="00030812">
            <w:pPr>
              <w:pStyle w:val="List"/>
            </w:pPr>
            <w:r w:rsidRPr="00030812">
              <w:t>3.6</w:t>
            </w:r>
            <w:r w:rsidRPr="00030812">
              <w:tab/>
              <w:t>Decontamination methods are ident</w:t>
            </w:r>
            <w:r w:rsidRPr="00030812">
              <w:t>ified in accordance with organisational policies.</w:t>
            </w:r>
          </w:p>
          <w:p w:rsidR="00000000" w:rsidRPr="00030812" w:rsidP="00030812">
            <w:pPr>
              <w:pStyle w:val="List"/>
            </w:pPr>
            <w:r w:rsidRPr="00030812">
              <w:t>3.7</w:t>
            </w:r>
            <w:r w:rsidRPr="00030812">
              <w:tab/>
              <w:t xml:space="preserve">Requirement for </w:t>
            </w:r>
            <w:r w:rsidRPr="00030812">
              <w:rPr>
                <w:rStyle w:val="BoldandItalics"/>
              </w:rPr>
              <w:t>detection and confinement/containment strategies</w:t>
            </w:r>
            <w:r w:rsidRPr="00030812">
              <w:t xml:space="preserve"> are identified in accordance with organisational policies.</w:t>
            </w:r>
          </w:p>
          <w:p w:rsidR="00000000" w:rsidP="00030812">
            <w:pPr>
              <w:pStyle w:val="List"/>
              <w:rPr>
                <w:lang w:val="en-NZ"/>
              </w:rPr>
            </w:pPr>
            <w:r w:rsidRPr="00030812">
              <w:t>3.8</w:t>
            </w:r>
            <w:r w:rsidRPr="00030812">
              <w:rPr>
                <w:rStyle w:val="BoldandItalics"/>
              </w:rPr>
              <w:tab/>
              <w:t>Organisations required to assist with operations</w:t>
            </w:r>
            <w:r w:rsidRPr="00030812">
              <w:t xml:space="preserve"> are identified.</w:t>
            </w:r>
          </w:p>
        </w:tc>
      </w:tr>
      <w:tr w:rsidTr="000308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0812">
            <w:pPr>
              <w:pStyle w:val="List"/>
              <w:rPr>
                <w:lang w:val="en-NZ"/>
              </w:rPr>
            </w:pPr>
            <w:r w:rsidRPr="00030812">
              <w:rPr>
                <w:rStyle w:val="SpecialBold"/>
              </w:rPr>
              <w:t>4.</w:t>
            </w:r>
            <w:r w:rsidRPr="00030812">
              <w:rPr>
                <w:rStyle w:val="SpecialBold"/>
              </w:rPr>
              <w:tab/>
              <w:t>Assis</w:t>
            </w:r>
            <w:r w:rsidRPr="00030812">
              <w:rPr>
                <w:rStyle w:val="SpecialBold"/>
              </w:rPr>
              <w:t>t with the implementation of the plan for mitigation of a HAZMAT incident</w:t>
            </w:r>
          </w:p>
        </w:tc>
        <w:tc>
          <w:tcPr>
            <w:tcW w:w="5580" w:type="dxa"/>
            <w:tcBorders>
              <w:top w:val="nil"/>
              <w:left w:val="nil"/>
              <w:bottom w:val="nil"/>
              <w:right w:val="nil"/>
            </w:tcBorders>
            <w:tcMar>
              <w:top w:w="0" w:type="dxa"/>
              <w:left w:w="62" w:type="dxa"/>
              <w:bottom w:w="0" w:type="dxa"/>
              <w:right w:w="62" w:type="dxa"/>
            </w:tcMar>
          </w:tcPr>
          <w:p w:rsidR="00000000" w:rsidRPr="00030812" w:rsidP="00030812">
            <w:pPr>
              <w:pStyle w:val="List"/>
            </w:pPr>
            <w:r w:rsidRPr="00030812">
              <w:t>4.1</w:t>
            </w:r>
            <w:r w:rsidRPr="00030812">
              <w:tab/>
              <w:t>Individual responsibilities within the organisation’s action plan are identified and followed.</w:t>
            </w:r>
          </w:p>
          <w:p w:rsidR="00000000" w:rsidRPr="00030812" w:rsidP="00030812">
            <w:pPr>
              <w:pStyle w:val="List"/>
            </w:pPr>
            <w:r w:rsidRPr="00030812">
              <w:t>4.2</w:t>
            </w:r>
            <w:r w:rsidRPr="00030812">
              <w:tab/>
              <w:t xml:space="preserve">Scene is isolated and secured, and </w:t>
            </w:r>
            <w:r w:rsidRPr="00030812">
              <w:rPr>
                <w:rStyle w:val="BoldandItalics"/>
              </w:rPr>
              <w:t>hazard control zones</w:t>
            </w:r>
            <w:r w:rsidRPr="00030812">
              <w:t xml:space="preserve"> and </w:t>
            </w:r>
            <w:r w:rsidRPr="00030812">
              <w:rPr>
                <w:rStyle w:val="BoldandItalics"/>
              </w:rPr>
              <w:t>decontamination</w:t>
            </w:r>
            <w:r w:rsidRPr="00030812">
              <w:t xml:space="preserve"> cor</w:t>
            </w:r>
            <w:r w:rsidRPr="00030812">
              <w:t>ridor are established according to organisational guidelines.</w:t>
            </w:r>
          </w:p>
          <w:p w:rsidR="00000000" w:rsidRPr="00030812" w:rsidP="00030812">
            <w:pPr>
              <w:pStyle w:val="List"/>
            </w:pPr>
            <w:r w:rsidRPr="00030812">
              <w:t>4.3</w:t>
            </w:r>
            <w:r w:rsidRPr="00030812">
              <w:tab/>
              <w:t>Entry plan is implemented in accordance with organisational policies.</w:t>
            </w:r>
          </w:p>
          <w:p w:rsidR="00000000" w:rsidRPr="00030812" w:rsidP="00030812">
            <w:pPr>
              <w:pStyle w:val="List"/>
            </w:pPr>
            <w:r w:rsidRPr="00030812">
              <w:t>4.4</w:t>
            </w:r>
            <w:r w:rsidRPr="00030812">
              <w:tab/>
              <w:t>Response equipment is applied in accordance with organisational policies.</w:t>
            </w:r>
          </w:p>
          <w:p w:rsidR="00000000" w:rsidRPr="00030812" w:rsidP="00030812">
            <w:pPr>
              <w:pStyle w:val="List"/>
            </w:pPr>
            <w:r w:rsidRPr="00030812">
              <w:t>4.5</w:t>
            </w:r>
            <w:r w:rsidRPr="00030812">
              <w:tab/>
              <w:t>PPE is applied in accordance with orga</w:t>
            </w:r>
            <w:r w:rsidRPr="00030812">
              <w:t>nisational policies.</w:t>
            </w:r>
          </w:p>
          <w:p w:rsidR="00000000" w:rsidRPr="00030812" w:rsidP="00030812">
            <w:pPr>
              <w:pStyle w:val="List"/>
            </w:pPr>
            <w:r w:rsidRPr="00030812">
              <w:t>4.6</w:t>
            </w:r>
            <w:r w:rsidRPr="00030812">
              <w:tab/>
              <w:t>Decontamination procedures are applied as required in accordance with organisational procedures.</w:t>
            </w:r>
          </w:p>
          <w:p w:rsidR="00000000" w:rsidRPr="00030812" w:rsidP="00030812">
            <w:pPr>
              <w:pStyle w:val="List"/>
            </w:pPr>
            <w:r w:rsidRPr="00030812">
              <w:t>4.7</w:t>
            </w:r>
            <w:r w:rsidRPr="00030812">
              <w:tab/>
              <w:t>Requirement for detection and confinement/containment strategies are applied in accordance with organisational policies.</w:t>
            </w:r>
          </w:p>
          <w:p w:rsidR="00000000" w:rsidP="00030812">
            <w:pPr>
              <w:pStyle w:val="List"/>
              <w:rPr>
                <w:lang w:val="en-NZ"/>
              </w:rPr>
            </w:pPr>
            <w:r w:rsidRPr="00030812">
              <w:t>4.8</w:t>
            </w:r>
            <w:r w:rsidRPr="00030812">
              <w:tab/>
              <w:t>Resul</w:t>
            </w:r>
            <w:r w:rsidRPr="00030812">
              <w:t>ts are recorded and reported in accordance with organisational policies.</w:t>
            </w:r>
          </w:p>
        </w:tc>
      </w:tr>
      <w:tr w:rsidTr="000308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0812">
            <w:pPr>
              <w:pStyle w:val="List"/>
              <w:rPr>
                <w:lang w:val="en-NZ"/>
              </w:rPr>
            </w:pPr>
            <w:r w:rsidRPr="00030812">
              <w:rPr>
                <w:rStyle w:val="SpecialBold"/>
              </w:rPr>
              <w:t>5.</w:t>
            </w:r>
            <w:r w:rsidRPr="00030812">
              <w:rPr>
                <w:rStyle w:val="SpecialBold"/>
              </w:rPr>
              <w:tab/>
              <w:t>Assist with the review of the plan</w:t>
            </w:r>
          </w:p>
        </w:tc>
        <w:tc>
          <w:tcPr>
            <w:tcW w:w="5580" w:type="dxa"/>
            <w:tcBorders>
              <w:top w:val="nil"/>
              <w:left w:val="nil"/>
              <w:bottom w:val="nil"/>
              <w:right w:val="nil"/>
            </w:tcBorders>
            <w:tcMar>
              <w:top w:w="0" w:type="dxa"/>
              <w:left w:w="62" w:type="dxa"/>
              <w:bottom w:w="0" w:type="dxa"/>
              <w:right w:w="62" w:type="dxa"/>
            </w:tcMar>
          </w:tcPr>
          <w:p w:rsidR="00000000" w:rsidRPr="00030812" w:rsidP="00030812">
            <w:pPr>
              <w:pStyle w:val="List"/>
            </w:pPr>
            <w:r w:rsidRPr="00030812">
              <w:t>5.1</w:t>
            </w:r>
            <w:r w:rsidRPr="00030812">
              <w:tab/>
              <w:t>Plan is reviewed and safety of entry team is monitored in accordance with organisational guidelines.</w:t>
            </w:r>
          </w:p>
          <w:p w:rsidR="00000000" w:rsidRPr="00030812" w:rsidP="00030812">
            <w:pPr>
              <w:pStyle w:val="List"/>
            </w:pPr>
            <w:r w:rsidRPr="00030812">
              <w:t>5.2</w:t>
            </w:r>
            <w:r w:rsidRPr="00030812">
              <w:tab/>
              <w:t>Contamination incidents are recorde</w:t>
            </w:r>
            <w:r w:rsidRPr="00030812">
              <w:t>d and reported to appropriate personnel in accordance with organisational guidelines.</w:t>
            </w:r>
          </w:p>
          <w:p w:rsidR="00000000" w:rsidRPr="00030812" w:rsidP="00030812">
            <w:pPr>
              <w:pStyle w:val="List"/>
            </w:pPr>
            <w:r w:rsidRPr="00030812">
              <w:t>5.3</w:t>
            </w:r>
            <w:r w:rsidRPr="00030812">
              <w:tab/>
              <w:t>Entry, decontamination, detection and mitigation effectiveness is reviewed in accordance with organisational guidelines.</w:t>
            </w:r>
          </w:p>
        </w:tc>
      </w:tr>
    </w:tbl>
    <w:p w:rsidR="00000000" w:rsidRPr="00030812" w:rsidP="00030812">
      <w:pPr>
        <w:pStyle w:val="List"/>
      </w:pPr>
    </w:p>
    <w:p w:rsidR="00000000" w:rsidRPr="00030812" w:rsidP="00030812">
      <w:pPr>
        <w:pStyle w:val="AllowPageBreak"/>
      </w:pPr>
    </w:p>
    <w:p w:rsidR="00000000" w:rsidRPr="00030812" w:rsidP="00030812">
      <w:pPr>
        <w:pStyle w:val="Heading1"/>
      </w:pPr>
      <w:bookmarkStart w:id="9" w:name="O_570007"/>
      <w:bookmarkEnd w:id="9"/>
      <w:r w:rsidRPr="00030812">
        <w:t>Required Skills and Knowledge</w:t>
      </w:r>
    </w:p>
    <w:tbl>
      <w:tblPr>
        <w:tblW w:w="0" w:type="auto"/>
        <w:tblLayout w:type="fixed"/>
        <w:tblCellMar>
          <w:left w:w="62" w:type="dxa"/>
          <w:right w:w="62" w:type="dxa"/>
        </w:tblCellMar>
        <w:tblLook w:val="0000"/>
      </w:tblPr>
      <w:tblGrid>
        <w:gridCol w:w="8640"/>
      </w:tblGrid>
      <w:tr w:rsidTr="000308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30812">
            <w:pPr>
              <w:pStyle w:val="BodyText"/>
              <w:rPr>
                <w:lang w:val="en-NZ"/>
              </w:rPr>
            </w:pPr>
            <w:r w:rsidRPr="00030812">
              <w:t>This describes the essential skills and knowledge and their level, required for this unit.</w:t>
            </w:r>
          </w:p>
        </w:tc>
      </w:tr>
      <w:tr w:rsidTr="000308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30812">
            <w:pPr>
              <w:pStyle w:val="BodyText"/>
              <w:rPr>
                <w:lang w:val="en-NZ"/>
              </w:rPr>
            </w:pPr>
            <w:r w:rsidRPr="00030812">
              <w:rPr>
                <w:rStyle w:val="SpecialBold"/>
              </w:rPr>
              <w:t>Required Skills</w:t>
            </w:r>
          </w:p>
        </w:tc>
      </w:tr>
      <w:tr w:rsidTr="000308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30812" w:rsidP="00030812">
            <w:pPr>
              <w:pStyle w:val="ListBullet"/>
            </w:pPr>
            <w:r w:rsidRPr="00030812">
              <w:t>don, operate in, decontaminate and remove personal protective clothing and equipment</w:t>
            </w:r>
          </w:p>
          <w:p w:rsidR="00000000" w:rsidRPr="00030812" w:rsidP="00030812">
            <w:pPr>
              <w:pStyle w:val="ListBullet"/>
            </w:pPr>
            <w:r w:rsidRPr="00030812">
              <w:t>follow instructions and procedures</w:t>
            </w:r>
          </w:p>
          <w:p w:rsidR="00000000" w:rsidRPr="00030812" w:rsidP="00030812">
            <w:pPr>
              <w:pStyle w:val="ListBullet"/>
            </w:pPr>
            <w:r w:rsidRPr="00030812">
              <w:t>interpret safety and hazard information</w:t>
            </w:r>
          </w:p>
          <w:p w:rsidR="00000000" w:rsidRPr="00030812" w:rsidP="00030812">
            <w:pPr>
              <w:pStyle w:val="ListBullet"/>
            </w:pPr>
            <w:r w:rsidRPr="00030812">
              <w:t>use response equipment</w:t>
            </w:r>
          </w:p>
          <w:p w:rsidR="00000000" w:rsidP="00030812">
            <w:pPr>
              <w:pStyle w:val="ListBullet"/>
              <w:rPr>
                <w:lang w:val="en-NZ"/>
              </w:rPr>
            </w:pPr>
            <w:r w:rsidRPr="00030812">
              <w:t>work as member of a team</w:t>
            </w:r>
          </w:p>
        </w:tc>
      </w:tr>
      <w:tr w:rsidTr="00030812">
        <w:tblPrEx>
          <w:tblW w:w="0" w:type="auto"/>
          <w:tblLayout w:type="fixed"/>
          <w:tblCellMar>
            <w:left w:w="62" w:type="dxa"/>
            <w:right w:w="62" w:type="dxa"/>
          </w:tblCellMar>
          <w:tblLook w:val="0000"/>
        </w:tblPrEx>
        <w:trPr>
          <w:trHeight w:val="346"/>
        </w:trPr>
        <w:tc>
          <w:tcPr>
            <w:tcW w:w="8640" w:type="dxa"/>
            <w:tcBorders>
              <w:top w:val="nil"/>
              <w:left w:val="nil"/>
              <w:bottom w:val="nil"/>
              <w:right w:val="nil"/>
            </w:tcBorders>
            <w:tcMar>
              <w:top w:w="0" w:type="dxa"/>
              <w:left w:w="62" w:type="dxa"/>
              <w:bottom w:w="0" w:type="dxa"/>
              <w:right w:w="62" w:type="dxa"/>
            </w:tcMar>
          </w:tcPr>
          <w:p w:rsidR="00000000" w:rsidP="00030812">
            <w:pPr>
              <w:pStyle w:val="BodyText"/>
              <w:rPr>
                <w:lang w:val="en-NZ"/>
              </w:rPr>
            </w:pPr>
            <w:r w:rsidRPr="00030812">
              <w:rPr>
                <w:rStyle w:val="SpecialBold"/>
              </w:rPr>
              <w:t>Required Knowledge</w:t>
            </w:r>
          </w:p>
        </w:tc>
      </w:tr>
      <w:tr w:rsidTr="000308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30812" w:rsidP="00030812">
            <w:pPr>
              <w:pStyle w:val="ListBullet"/>
            </w:pPr>
            <w:r w:rsidRPr="00030812">
              <w:t xml:space="preserve">decontamination principles and procedures </w:t>
            </w:r>
          </w:p>
          <w:p w:rsidR="00000000" w:rsidRPr="00030812" w:rsidP="00030812">
            <w:pPr>
              <w:pStyle w:val="ListBullet"/>
            </w:pPr>
            <w:r w:rsidRPr="00030812">
              <w:t>legislation relevant to the organisation</w:t>
            </w:r>
          </w:p>
          <w:p w:rsidR="00000000" w:rsidRPr="00030812" w:rsidP="00030812">
            <w:pPr>
              <w:pStyle w:val="ListBullet"/>
            </w:pPr>
            <w:r w:rsidRPr="00030812">
              <w:t>methods of identifying haza</w:t>
            </w:r>
            <w:r w:rsidRPr="00030812">
              <w:t>rdous materials</w:t>
            </w:r>
          </w:p>
          <w:p w:rsidR="00000000" w:rsidRPr="00030812" w:rsidP="00030812">
            <w:pPr>
              <w:pStyle w:val="ListBullet"/>
            </w:pPr>
            <w:r w:rsidRPr="00030812">
              <w:t>mitigation (confinement/containment) techniques</w:t>
            </w:r>
          </w:p>
          <w:p w:rsidR="00000000" w:rsidRPr="00030812" w:rsidP="00030812">
            <w:pPr>
              <w:pStyle w:val="ListBullet"/>
            </w:pPr>
            <w:r w:rsidRPr="00030812">
              <w:t>nature and properties of hazardous materials</w:t>
            </w:r>
          </w:p>
          <w:p w:rsidR="00000000" w:rsidRPr="00030812" w:rsidP="00030812">
            <w:pPr>
              <w:pStyle w:val="ListBullet"/>
            </w:pPr>
            <w:r w:rsidRPr="00030812">
              <w:t>organisational policies and procedures</w:t>
            </w:r>
          </w:p>
          <w:p w:rsidR="00000000" w:rsidRPr="00030812" w:rsidP="00030812">
            <w:pPr>
              <w:pStyle w:val="ListBullet"/>
            </w:pPr>
            <w:r w:rsidRPr="00030812">
              <w:t xml:space="preserve">PPE procedures </w:t>
            </w:r>
          </w:p>
          <w:p w:rsidR="00000000" w:rsidRPr="00030812" w:rsidP="00030812">
            <w:pPr>
              <w:pStyle w:val="ListBullet"/>
            </w:pPr>
            <w:r w:rsidRPr="00030812">
              <w:t>principles of incident control</w:t>
            </w:r>
          </w:p>
          <w:p w:rsidR="00000000" w:rsidRPr="00030812" w:rsidP="00030812">
            <w:pPr>
              <w:pStyle w:val="ListBullet"/>
            </w:pPr>
            <w:r w:rsidRPr="00030812">
              <w:t>scene control and site isolation</w:t>
            </w:r>
          </w:p>
        </w:tc>
      </w:tr>
    </w:tbl>
    <w:p w:rsidR="00000000" w:rsidRPr="00030812" w:rsidP="00030812">
      <w:pPr>
        <w:pStyle w:val="BodyText"/>
      </w:pPr>
    </w:p>
    <w:p w:rsidR="00000000" w:rsidRPr="00030812" w:rsidP="00030812">
      <w:pPr>
        <w:pStyle w:val="AllowPageBreak"/>
      </w:pPr>
    </w:p>
    <w:p w:rsidR="00000000" w:rsidRPr="00030812" w:rsidP="00030812">
      <w:pPr>
        <w:pStyle w:val="Heading1"/>
      </w:pPr>
      <w:bookmarkStart w:id="10" w:name="O_570006"/>
      <w:bookmarkEnd w:id="10"/>
      <w:r w:rsidRPr="00030812">
        <w:t>Evidence Guide</w:t>
      </w:r>
    </w:p>
    <w:tbl>
      <w:tblPr>
        <w:tblW w:w="0" w:type="auto"/>
        <w:tblLayout w:type="fixed"/>
        <w:tblCellMar>
          <w:left w:w="62" w:type="dxa"/>
          <w:right w:w="62" w:type="dxa"/>
        </w:tblCellMar>
        <w:tblLook w:val="0000"/>
      </w:tblPr>
      <w:tblGrid>
        <w:gridCol w:w="3060"/>
        <w:gridCol w:w="5580"/>
      </w:tblGrid>
      <w:tr w:rsidTr="0003081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30812">
            <w:pPr>
              <w:pStyle w:val="BodyText"/>
              <w:rPr>
                <w:lang w:val="en-NZ"/>
              </w:rPr>
            </w:pPr>
            <w:r w:rsidRPr="00030812">
              <w:t>The evidence guide provides advice on assessment and must be read in conjunction with the Performance Criteria, Required Skills and Knowledge, the Range Statement and the Assessment Guidelines for this Training Package.</w:t>
            </w:r>
          </w:p>
        </w:tc>
      </w:tr>
      <w:tr w:rsidTr="000308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0812">
            <w:pPr>
              <w:pStyle w:val="BodyText"/>
              <w:rPr>
                <w:lang w:val="en-NZ"/>
              </w:rPr>
            </w:pPr>
            <w:r w:rsidRPr="00030812">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030812" w:rsidP="00030812">
            <w:pPr>
              <w:pStyle w:val="BodyText"/>
            </w:pPr>
            <w:r w:rsidRPr="00030812">
              <w:t>Assessment must confirm the ability to:</w:t>
            </w:r>
          </w:p>
          <w:p w:rsidR="00000000" w:rsidRPr="00030812" w:rsidP="00030812">
            <w:pPr>
              <w:pStyle w:val="ListBullet"/>
            </w:pPr>
            <w:r w:rsidRPr="00030812">
              <w:t>implement appropriate standard operating guidelines</w:t>
            </w:r>
          </w:p>
          <w:p w:rsidR="00000000" w:rsidRPr="00030812" w:rsidP="00030812">
            <w:pPr>
              <w:pStyle w:val="ListBullet"/>
            </w:pPr>
            <w:r w:rsidRPr="00030812">
              <w:t>comply with relevant legislation</w:t>
            </w:r>
          </w:p>
          <w:p w:rsidR="00000000" w:rsidRPr="00030812" w:rsidP="00030812">
            <w:pPr>
              <w:pStyle w:val="ListBullet"/>
            </w:pPr>
            <w:r w:rsidRPr="00030812">
              <w:t>demonstrate safe working practices</w:t>
            </w:r>
          </w:p>
          <w:p w:rsidR="00000000" w:rsidRPr="00030812" w:rsidP="00030812">
            <w:pPr>
              <w:pStyle w:val="ListBullet"/>
            </w:pPr>
            <w:r w:rsidRPr="00030812">
              <w:t>id</w:t>
            </w:r>
            <w:r w:rsidRPr="00030812">
              <w:t xml:space="preserve">entify hazardous materials </w:t>
            </w:r>
          </w:p>
          <w:p w:rsidR="00000000" w:rsidRPr="00030812" w:rsidP="00030812">
            <w:pPr>
              <w:pStyle w:val="ListBullet"/>
            </w:pPr>
            <w:r w:rsidRPr="00030812">
              <w:t>assist in the establishment of action plan</w:t>
            </w:r>
          </w:p>
          <w:p w:rsidR="00000000" w:rsidRPr="00030812" w:rsidP="00030812">
            <w:pPr>
              <w:pStyle w:val="ListBullet"/>
            </w:pPr>
            <w:r w:rsidRPr="00030812">
              <w:t>undertake mitigation techniques</w:t>
            </w:r>
          </w:p>
          <w:p w:rsidR="00000000" w:rsidRPr="00030812" w:rsidP="00030812">
            <w:pPr>
              <w:pStyle w:val="ListBullet"/>
            </w:pPr>
            <w:r w:rsidRPr="00030812">
              <w:t>undertake decontamination procedures</w:t>
            </w:r>
          </w:p>
          <w:p w:rsidR="00000000" w:rsidRPr="00030812" w:rsidP="00030812">
            <w:pPr>
              <w:pStyle w:val="BodyText"/>
            </w:pPr>
            <w:r w:rsidRPr="00030812">
              <w:rPr>
                <w:rStyle w:val="SpecialBold"/>
              </w:rPr>
              <w:t>Consistency in performance</w:t>
            </w:r>
          </w:p>
          <w:p w:rsidR="00000000" w:rsidP="00030812">
            <w:pPr>
              <w:pStyle w:val="BodyText"/>
              <w:rPr>
                <w:lang w:val="en-NZ"/>
              </w:rPr>
            </w:pPr>
            <w:r w:rsidRPr="00030812">
              <w:t>Competency should be demonstrated over a period of time across a range of situations appr</w:t>
            </w:r>
            <w:r w:rsidRPr="00030812">
              <w:t>opriate to organisational role.</w:t>
            </w:r>
          </w:p>
        </w:tc>
      </w:tr>
      <w:tr w:rsidTr="000308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30812" w:rsidP="00030812">
            <w:pPr>
              <w:pStyle w:val="BodyText"/>
            </w:pPr>
            <w:r w:rsidRPr="00030812">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030812" w:rsidP="00030812">
            <w:pPr>
              <w:pStyle w:val="BodyText"/>
            </w:pPr>
            <w:r w:rsidRPr="00030812">
              <w:rPr>
                <w:rStyle w:val="SpecialBold"/>
              </w:rPr>
              <w:t>Context of assessment</w:t>
            </w:r>
          </w:p>
          <w:p w:rsidR="00000000" w:rsidRPr="00030812" w:rsidP="00030812">
            <w:pPr>
              <w:pStyle w:val="BodyText"/>
            </w:pPr>
            <w:r w:rsidRPr="00030812">
              <w:t>Competency should be assessed in simulations or exercises and/or a series of tasks, which may involve setting scenarios to be completed either individually or as a member of a team.</w:t>
            </w:r>
          </w:p>
          <w:p w:rsidR="00000000" w:rsidRPr="00030812" w:rsidP="00030812">
            <w:pPr>
              <w:pStyle w:val="BodyText"/>
            </w:pPr>
            <w:r w:rsidRPr="00030812">
              <w:rPr>
                <w:rStyle w:val="SpecialBold"/>
              </w:rPr>
              <w:t>Specific resources for assessment</w:t>
            </w:r>
          </w:p>
          <w:p w:rsidR="00000000" w:rsidRPr="00030812" w:rsidP="00030812">
            <w:pPr>
              <w:pStyle w:val="BodyText"/>
            </w:pPr>
            <w:r w:rsidRPr="00030812">
              <w:t>Access is required to:</w:t>
            </w:r>
          </w:p>
          <w:p w:rsidR="00000000" w:rsidRPr="00030812" w:rsidP="00030812">
            <w:pPr>
              <w:pStyle w:val="ListBullet"/>
            </w:pPr>
            <w:r w:rsidRPr="00030812">
              <w:t>relevant PPE, tr</w:t>
            </w:r>
            <w:r w:rsidRPr="00030812">
              <w:t>ansport, communication</w:t>
            </w:r>
          </w:p>
          <w:p w:rsidR="00000000" w:rsidP="00030812">
            <w:pPr>
              <w:pStyle w:val="ListBullet"/>
              <w:rPr>
                <w:lang w:val="en-NZ"/>
              </w:rPr>
            </w:pPr>
            <w:r w:rsidRPr="00030812">
              <w:t>response equipment</w:t>
            </w:r>
          </w:p>
        </w:tc>
      </w:tr>
      <w:tr w:rsidTr="000308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0812">
            <w:pPr>
              <w:pStyle w:val="BodyText"/>
              <w:rPr>
                <w:lang w:val="en-NZ"/>
              </w:rPr>
            </w:pPr>
            <w:r w:rsidRPr="00030812">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030812" w:rsidP="00030812">
            <w:pPr>
              <w:pStyle w:val="BodyText"/>
            </w:pPr>
            <w:r w:rsidRPr="00030812">
              <w:t>This unit may be assessed with the following unit/s:</w:t>
            </w:r>
          </w:p>
          <w:p w:rsidR="00000000" w:rsidRPr="00030812" w:rsidP="00030812">
            <w:pPr>
              <w:pStyle w:val="ListBullet"/>
            </w:pPr>
            <w:r w:rsidRPr="00030812">
              <w:t>PUAFIR308B Employ personal protection at a hazardous materials incident.</w:t>
            </w:r>
          </w:p>
          <w:p w:rsidR="00000000" w:rsidRPr="00030812" w:rsidP="00030812">
            <w:pPr>
              <w:pStyle w:val="BodyText"/>
            </w:pPr>
            <w:r w:rsidRPr="00030812">
              <w:t>In a public safety environment assessment is usually conducted vi</w:t>
            </w:r>
            <w:r w:rsidRPr="00030812">
              <w:t>a direct observation in a training environment or in the workplace via subject matter supervision and/or mentoring, which is typically recorded in a competency workbook.</w:t>
            </w:r>
          </w:p>
          <w:p w:rsidR="00000000" w:rsidRPr="00030812" w:rsidP="00030812">
            <w:pPr>
              <w:pStyle w:val="BodyText"/>
            </w:pPr>
            <w:r w:rsidRPr="00030812">
              <w:t>Assessment is completed using appropriately qualified assessors who select the most ap</w:t>
            </w:r>
            <w:r w:rsidRPr="00030812">
              <w:t>propriate method of assessment.</w:t>
            </w:r>
          </w:p>
          <w:p w:rsidR="00000000" w:rsidRPr="00030812" w:rsidP="00030812">
            <w:pPr>
              <w:pStyle w:val="BodyText"/>
            </w:pPr>
            <w:r w:rsidRPr="00030812">
              <w:t>Assessment may occur in an operational environment or in an agency-approved simulated work environment. Forms of assessment that are typically used include:</w:t>
            </w:r>
          </w:p>
          <w:p w:rsidR="00000000" w:rsidRPr="00030812" w:rsidP="00030812">
            <w:pPr>
              <w:pStyle w:val="ListBullet"/>
            </w:pPr>
            <w:r w:rsidRPr="00030812">
              <w:t>direct observation</w:t>
            </w:r>
          </w:p>
          <w:p w:rsidR="00000000" w:rsidRPr="00030812" w:rsidP="00030812">
            <w:pPr>
              <w:pStyle w:val="ListBullet"/>
            </w:pPr>
            <w:r w:rsidRPr="00030812">
              <w:t>interviewing the candidate</w:t>
            </w:r>
          </w:p>
          <w:p w:rsidR="00000000" w:rsidRPr="00030812" w:rsidP="00030812">
            <w:pPr>
              <w:pStyle w:val="ListBullet"/>
            </w:pPr>
            <w:r w:rsidRPr="00030812">
              <w:t>journals and workplace documentation</w:t>
            </w:r>
          </w:p>
          <w:p w:rsidR="00000000" w:rsidRPr="00030812" w:rsidP="00030812">
            <w:pPr>
              <w:pStyle w:val="ListBullet"/>
            </w:pPr>
            <w:r w:rsidRPr="00030812">
              <w:t>third party reports from supervisors</w:t>
            </w:r>
          </w:p>
          <w:p w:rsidR="00000000" w:rsidRPr="00030812" w:rsidP="00030812">
            <w:pPr>
              <w:pStyle w:val="ListBullet"/>
            </w:pPr>
            <w:r w:rsidRPr="00030812">
              <w:t>written or oral questions</w:t>
            </w:r>
          </w:p>
        </w:tc>
      </w:tr>
    </w:tbl>
    <w:p w:rsidR="00000000" w:rsidRPr="00030812" w:rsidP="00030812">
      <w:pPr>
        <w:pStyle w:val="BodyText"/>
      </w:pPr>
    </w:p>
    <w:p w:rsidR="00000000" w:rsidRPr="00030812" w:rsidP="00030812">
      <w:pPr>
        <w:pStyle w:val="AllowPageBreak"/>
      </w:pPr>
    </w:p>
    <w:p w:rsidR="00000000" w:rsidRPr="00030812" w:rsidP="00030812">
      <w:pPr>
        <w:pStyle w:val="Heading1"/>
      </w:pPr>
      <w:bookmarkStart w:id="11" w:name="O_570005"/>
      <w:bookmarkEnd w:id="11"/>
      <w:r w:rsidRPr="00030812">
        <w:t>Range Statement</w:t>
      </w:r>
    </w:p>
    <w:tbl>
      <w:tblPr>
        <w:tblW w:w="0" w:type="auto"/>
        <w:tblLayout w:type="fixed"/>
        <w:tblCellMar>
          <w:left w:w="62" w:type="dxa"/>
          <w:right w:w="62" w:type="dxa"/>
        </w:tblCellMar>
        <w:tblLook w:val="0000"/>
      </w:tblPr>
      <w:tblGrid>
        <w:gridCol w:w="3060"/>
        <w:gridCol w:w="5580"/>
      </w:tblGrid>
      <w:tr w:rsidTr="00030812">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2">
            <w:pPr>
              <w:pStyle w:val="BodyText"/>
              <w:rPr>
                <w:lang w:val="en-NZ"/>
              </w:rPr>
            </w:pPr>
            <w:r w:rsidRPr="00030812">
              <w:t>The Range Statement relates to the Unit of Competency as a whole. It allows for different work environments and situation</w:t>
            </w:r>
            <w:r w:rsidRPr="00030812">
              <w:t xml:space="preserve">s that may affect performance. </w:t>
            </w:r>
            <w:r w:rsidRPr="00030812">
              <w:rPr>
                <w:rStyle w:val="BoldandItalics"/>
              </w:rPr>
              <w:t>Bold italicised</w:t>
            </w:r>
            <w:r w:rsidRPr="00030812">
              <w:t xml:space="preserve"> wording in the Performance Criteria is detailed below.</w:t>
            </w:r>
          </w:p>
        </w:tc>
      </w:tr>
      <w:tr w:rsidTr="0003081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2">
            <w:pPr>
              <w:pStyle w:val="BodyText"/>
              <w:rPr>
                <w:lang w:val="en-NZ"/>
              </w:rPr>
            </w:pPr>
            <w:r w:rsidRPr="00030812">
              <w:rPr>
                <w:rStyle w:val="BoldandItalics"/>
              </w:rPr>
              <w:t>Organisational procedures and guidelines</w:t>
            </w:r>
            <w:r w:rsidRPr="00030812">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2" w:rsidP="00030812">
            <w:pPr>
              <w:pStyle w:val="ListBullet"/>
            </w:pPr>
            <w:r w:rsidRPr="00030812">
              <w:t>government organisational procedures</w:t>
            </w:r>
          </w:p>
          <w:p w:rsidR="00000000" w:rsidRPr="00030812" w:rsidP="00030812">
            <w:pPr>
              <w:pStyle w:val="ListBullet"/>
            </w:pPr>
            <w:r w:rsidRPr="00030812">
              <w:t>organisational procedures</w:t>
            </w:r>
          </w:p>
          <w:p w:rsidR="00000000" w:rsidP="00030812">
            <w:pPr>
              <w:pStyle w:val="ListBullet"/>
              <w:rPr>
                <w:lang w:val="en-NZ"/>
              </w:rPr>
            </w:pPr>
            <w:r w:rsidRPr="00030812">
              <w:t>workplace health and safety practices and procedures</w:t>
            </w:r>
          </w:p>
        </w:tc>
      </w:tr>
      <w:tr w:rsidTr="0003081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2">
            <w:pPr>
              <w:pStyle w:val="BodyText"/>
              <w:rPr>
                <w:lang w:val="en-NZ"/>
              </w:rPr>
            </w:pPr>
            <w:r w:rsidRPr="00030812">
              <w:t>and may also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2" w:rsidP="00030812">
            <w:pPr>
              <w:pStyle w:val="ListBullet"/>
            </w:pPr>
            <w:r w:rsidRPr="00030812">
              <w:t>Australian Standards and manufacturers’ guidelines</w:t>
            </w:r>
          </w:p>
          <w:p w:rsidR="00000000" w:rsidRPr="00030812" w:rsidP="00030812">
            <w:pPr>
              <w:pStyle w:val="ListBullet"/>
            </w:pPr>
            <w:r w:rsidRPr="00030812">
              <w:t>company organisational procedures</w:t>
            </w:r>
          </w:p>
          <w:p w:rsidR="00000000" w:rsidP="00030812">
            <w:pPr>
              <w:pStyle w:val="ListBullet"/>
              <w:rPr>
                <w:lang w:val="en-NZ"/>
              </w:rPr>
            </w:pPr>
            <w:r w:rsidRPr="00030812">
              <w:t>external organisation assistance</w:t>
            </w:r>
          </w:p>
        </w:tc>
      </w:tr>
      <w:tr w:rsidTr="0003081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2">
            <w:pPr>
              <w:pStyle w:val="BodyText"/>
              <w:rPr>
                <w:lang w:val="en-NZ"/>
              </w:rPr>
            </w:pPr>
            <w:r w:rsidRPr="00030812">
              <w:rPr>
                <w:rStyle w:val="BoldandItalics"/>
              </w:rPr>
              <w:t>Identification of hazardous materials</w:t>
            </w:r>
            <w:r w:rsidRPr="00030812">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2" w:rsidP="00030812">
            <w:pPr>
              <w:pStyle w:val="ListBullet"/>
            </w:pPr>
            <w:r w:rsidRPr="00030812">
              <w:t>awareness of physical, chemical, biological and radiological (CBR) properties and behaviour of hazardous materials including signs and symptoms of CBR agents</w:t>
            </w:r>
          </w:p>
          <w:p w:rsidR="00000000" w:rsidRPr="00030812" w:rsidP="00030812">
            <w:pPr>
              <w:pStyle w:val="ListBullet"/>
            </w:pPr>
            <w:r w:rsidRPr="00030812">
              <w:t xml:space="preserve">chemical names </w:t>
            </w:r>
          </w:p>
          <w:p w:rsidR="00000000" w:rsidRPr="00030812" w:rsidP="00030812">
            <w:pPr>
              <w:pStyle w:val="ListBullet"/>
            </w:pPr>
            <w:r w:rsidRPr="00030812">
              <w:t>dangerous goods class labels</w:t>
            </w:r>
          </w:p>
          <w:p w:rsidR="00000000" w:rsidRPr="00030812" w:rsidP="00030812">
            <w:pPr>
              <w:pStyle w:val="ListBullet"/>
            </w:pPr>
            <w:r w:rsidRPr="00030812">
              <w:t>definition of hazardous materials, hazardous substanc</w:t>
            </w:r>
            <w:r w:rsidRPr="00030812">
              <w:t>e, dangerous goods, non-dangerous goods, toxic substance, and goods too dangerous to be transported</w:t>
            </w:r>
          </w:p>
          <w:p w:rsidR="00000000" w:rsidRPr="00030812" w:rsidP="00030812">
            <w:pPr>
              <w:pStyle w:val="ListBullet"/>
            </w:pPr>
            <w:r w:rsidRPr="00030812">
              <w:t>emergency information panels/emergency information signs</w:t>
            </w:r>
          </w:p>
          <w:p w:rsidR="00000000" w:rsidRPr="00030812" w:rsidP="00030812">
            <w:pPr>
              <w:pStyle w:val="ListBullet"/>
            </w:pPr>
            <w:r w:rsidRPr="00030812">
              <w:t>HAZMAT information/initial information/site manager</w:t>
            </w:r>
          </w:p>
          <w:p w:rsidR="00000000" w:rsidRPr="00030812" w:rsidP="00030812">
            <w:pPr>
              <w:pStyle w:val="ListBullet"/>
            </w:pPr>
            <w:r w:rsidRPr="00030812">
              <w:t xml:space="preserve">identification and location of dangerous goods </w:t>
            </w:r>
            <w:r w:rsidRPr="00030812">
              <w:t xml:space="preserve">class labels </w:t>
            </w:r>
          </w:p>
          <w:p w:rsidR="00000000" w:rsidRPr="00030812" w:rsidP="00030812">
            <w:pPr>
              <w:pStyle w:val="ListBullet"/>
            </w:pPr>
            <w:r w:rsidRPr="00030812">
              <w:t>occupancies including site/use/manufacture location and transport</w:t>
            </w:r>
          </w:p>
          <w:p w:rsidR="00000000" w:rsidRPr="00030812" w:rsidP="00030812">
            <w:pPr>
              <w:pStyle w:val="ListBullet"/>
            </w:pPr>
            <w:r w:rsidRPr="00030812">
              <w:t>packing groups</w:t>
            </w:r>
          </w:p>
          <w:p w:rsidR="00000000" w:rsidRPr="00030812" w:rsidP="00030812">
            <w:pPr>
              <w:pStyle w:val="ListBullet"/>
            </w:pPr>
            <w:r w:rsidRPr="00030812">
              <w:t>placarding</w:t>
            </w:r>
          </w:p>
          <w:p w:rsidR="00000000" w:rsidRPr="00030812" w:rsidP="00030812">
            <w:pPr>
              <w:pStyle w:val="ListBullet"/>
            </w:pPr>
            <w:r w:rsidRPr="00030812">
              <w:t>product names or trade names</w:t>
            </w:r>
          </w:p>
          <w:p w:rsidR="00000000" w:rsidRPr="00030812" w:rsidP="00030812">
            <w:pPr>
              <w:pStyle w:val="ListBullet"/>
            </w:pPr>
            <w:r w:rsidRPr="00030812">
              <w:t>proper shipping names</w:t>
            </w:r>
          </w:p>
          <w:p w:rsidR="00000000" w:rsidRPr="00030812" w:rsidP="00030812">
            <w:pPr>
              <w:pStyle w:val="ListBullet"/>
            </w:pPr>
            <w:r w:rsidRPr="00030812">
              <w:t>United Nations numbers</w:t>
            </w:r>
          </w:p>
          <w:p w:rsidR="00000000" w:rsidRPr="00030812" w:rsidP="00030812">
            <w:pPr>
              <w:pStyle w:val="ListBullet"/>
            </w:pPr>
            <w:r w:rsidRPr="00030812">
              <w:t>visual signs and material indicators</w:t>
            </w:r>
          </w:p>
          <w:p w:rsidR="00000000" w:rsidRPr="00030812" w:rsidP="00030812">
            <w:pPr>
              <w:pStyle w:val="ListBullet"/>
            </w:pPr>
            <w:r w:rsidRPr="00030812">
              <w:t>storage manifests</w:t>
            </w:r>
          </w:p>
          <w:p w:rsidR="00000000" w:rsidP="00030812">
            <w:pPr>
              <w:pStyle w:val="ListBullet"/>
              <w:rPr>
                <w:lang w:val="en-NZ"/>
              </w:rPr>
            </w:pPr>
            <w:r w:rsidRPr="00030812">
              <w:t>transport documents</w:t>
            </w:r>
          </w:p>
        </w:tc>
      </w:tr>
      <w:tr w:rsidTr="0003081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2">
            <w:pPr>
              <w:pStyle w:val="BodyText"/>
              <w:rPr>
                <w:lang w:val="en-NZ"/>
              </w:rPr>
            </w:pPr>
            <w:r w:rsidRPr="00030812">
              <w:t>and may also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2" w:rsidP="00030812">
            <w:pPr>
              <w:pStyle w:val="ListBullet"/>
            </w:pPr>
            <w:r w:rsidRPr="00030812">
              <w:t>containers including transport and storage</w:t>
            </w:r>
          </w:p>
          <w:p w:rsidR="00000000" w:rsidRPr="00030812" w:rsidP="00030812">
            <w:pPr>
              <w:pStyle w:val="ListBullet"/>
            </w:pPr>
            <w:r w:rsidRPr="00030812">
              <w:t>environment</w:t>
            </w:r>
          </w:p>
          <w:p w:rsidR="00000000" w:rsidRPr="00030812" w:rsidP="00030812">
            <w:pPr>
              <w:pStyle w:val="ListBullet"/>
            </w:pPr>
            <w:r w:rsidRPr="00030812">
              <w:t>fixed site or community emergency response plans</w:t>
            </w:r>
          </w:p>
          <w:p w:rsidR="00000000" w:rsidRPr="00030812" w:rsidP="00030812">
            <w:pPr>
              <w:pStyle w:val="ListBullet"/>
            </w:pPr>
            <w:r w:rsidRPr="00030812">
              <w:t>identification of the material/s and their properties through onsite analytical testing</w:t>
            </w:r>
          </w:p>
          <w:p w:rsidR="00000000" w:rsidRPr="00030812" w:rsidP="00030812">
            <w:pPr>
              <w:pStyle w:val="ListBullet"/>
            </w:pPr>
            <w:r w:rsidRPr="00030812">
              <w:t>physical, chemical, biological and radiol</w:t>
            </w:r>
            <w:r w:rsidRPr="00030812">
              <w:t>ogical properties, behaviour and effects of hazardous materials including signs and symptoms of CBR agents</w:t>
            </w:r>
          </w:p>
          <w:p w:rsidR="00000000" w:rsidRPr="00030812" w:rsidP="00030812">
            <w:pPr>
              <w:pStyle w:val="ListBullet"/>
            </w:pPr>
            <w:r w:rsidRPr="00030812">
              <w:t>prediction of hazardous material behaviour, for example hazard prediction modelling</w:t>
            </w:r>
          </w:p>
          <w:p w:rsidR="00000000" w:rsidP="00030812">
            <w:pPr>
              <w:pStyle w:val="ListBullet"/>
              <w:rPr>
                <w:lang w:val="en-NZ"/>
              </w:rPr>
            </w:pPr>
            <w:r w:rsidRPr="00030812">
              <w:t>toxicology and entry routes of toxins</w:t>
            </w:r>
          </w:p>
        </w:tc>
      </w:tr>
      <w:tr w:rsidTr="0003081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2">
            <w:pPr>
              <w:pStyle w:val="BodyText"/>
              <w:rPr>
                <w:lang w:val="en-NZ"/>
              </w:rPr>
            </w:pPr>
            <w:r w:rsidRPr="00030812">
              <w:rPr>
                <w:rStyle w:val="BoldandItalics"/>
              </w:rPr>
              <w:t xml:space="preserve">Range of sources </w:t>
            </w:r>
            <w:r w:rsidRPr="00030812">
              <w:t>must incl</w:t>
            </w:r>
            <w:r w:rsidRPr="00030812">
              <w:t>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2" w:rsidP="00030812">
            <w:pPr>
              <w:pStyle w:val="ListBullet"/>
            </w:pPr>
            <w:r w:rsidRPr="00030812">
              <w:t>CHEMDATA (HAZMAT Action Guides)</w:t>
            </w:r>
          </w:p>
          <w:p w:rsidR="00000000" w:rsidRPr="00030812" w:rsidP="00030812">
            <w:pPr>
              <w:pStyle w:val="ListBullet"/>
            </w:pPr>
            <w:r w:rsidRPr="00030812">
              <w:t>emergency procedures guides</w:t>
            </w:r>
          </w:p>
          <w:p w:rsidR="00000000" w:rsidRPr="00030812" w:rsidP="00030812">
            <w:pPr>
              <w:pStyle w:val="ListBullet"/>
            </w:pPr>
            <w:r w:rsidRPr="00030812">
              <w:t xml:space="preserve">emergency response guide books </w:t>
            </w:r>
          </w:p>
          <w:p w:rsidR="00000000" w:rsidRPr="00030812" w:rsidP="00030812">
            <w:pPr>
              <w:pStyle w:val="ListBullet"/>
            </w:pPr>
            <w:r w:rsidRPr="00030812">
              <w:t>HAZCHEM Emergency Action Codes</w:t>
            </w:r>
          </w:p>
          <w:p w:rsidR="00000000" w:rsidRPr="00030812" w:rsidP="00030812">
            <w:pPr>
              <w:pStyle w:val="ListBullet"/>
            </w:pPr>
            <w:r w:rsidRPr="00030812">
              <w:t>material safety data sheets (MSDSs) or safety data sheets (SDSs)</w:t>
            </w:r>
          </w:p>
          <w:p w:rsidR="00000000" w:rsidP="00030812">
            <w:pPr>
              <w:pStyle w:val="ListBullet"/>
              <w:rPr>
                <w:lang w:val="en-NZ"/>
              </w:rPr>
            </w:pPr>
            <w:r w:rsidRPr="00030812">
              <w:t>technical specialist</w:t>
            </w:r>
          </w:p>
        </w:tc>
      </w:tr>
      <w:tr w:rsidTr="0003081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2">
            <w:pPr>
              <w:pStyle w:val="BodyText"/>
              <w:rPr>
                <w:lang w:val="en-NZ"/>
              </w:rPr>
            </w:pPr>
            <w:r w:rsidRPr="00030812">
              <w:t>and may also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2" w:rsidP="00030812">
            <w:pPr>
              <w:pStyle w:val="ListBullet"/>
            </w:pPr>
            <w:r w:rsidRPr="00030812">
              <w:t>electronic databases</w:t>
            </w:r>
          </w:p>
          <w:p w:rsidR="00000000" w:rsidRPr="00030812" w:rsidP="00030812">
            <w:pPr>
              <w:pStyle w:val="ListBullet"/>
            </w:pPr>
            <w:r w:rsidRPr="00030812">
              <w:t>European/Accord Dangereuse Routiers (ADR) hazard identification numbers</w:t>
            </w:r>
          </w:p>
          <w:p w:rsidR="00000000" w:rsidRPr="00030812" w:rsidP="00030812">
            <w:pPr>
              <w:pStyle w:val="ListBullet"/>
            </w:pPr>
            <w:r w:rsidRPr="00030812">
              <w:t>external organisation assistance</w:t>
            </w:r>
          </w:p>
          <w:p w:rsidR="00000000" w:rsidRPr="00030812" w:rsidP="00030812">
            <w:pPr>
              <w:pStyle w:val="ListBullet"/>
            </w:pPr>
            <w:r w:rsidRPr="00030812">
              <w:t>legislation/codes/standards – workplace health and safety, transport, storage and handling information, environment</w:t>
            </w:r>
          </w:p>
          <w:p w:rsidR="00000000" w:rsidRPr="00030812" w:rsidP="00030812">
            <w:pPr>
              <w:pStyle w:val="ListBullet"/>
            </w:pPr>
            <w:r w:rsidRPr="00030812">
              <w:t xml:space="preserve">National Fire </w:t>
            </w:r>
            <w:r w:rsidRPr="00030812">
              <w:t>Protection Association Codes</w:t>
            </w:r>
          </w:p>
          <w:p w:rsidR="00000000" w:rsidRPr="00030812" w:rsidP="00030812">
            <w:pPr>
              <w:pStyle w:val="ListBullet"/>
            </w:pPr>
            <w:r w:rsidRPr="00030812">
              <w:t>reference texts</w:t>
            </w:r>
          </w:p>
          <w:p w:rsidR="00000000" w:rsidP="00030812">
            <w:pPr>
              <w:pStyle w:val="ListBullet"/>
              <w:rPr>
                <w:lang w:val="en-NZ"/>
              </w:rPr>
            </w:pPr>
            <w:r w:rsidRPr="00030812">
              <w:t>site and community emergency response plans</w:t>
            </w:r>
          </w:p>
        </w:tc>
      </w:tr>
      <w:tr w:rsidTr="0003081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2">
            <w:pPr>
              <w:pStyle w:val="BodyText"/>
              <w:rPr>
                <w:lang w:val="en-NZ"/>
              </w:rPr>
            </w:pPr>
            <w:r w:rsidRPr="00030812">
              <w:rPr>
                <w:rStyle w:val="BoldandItalics"/>
              </w:rPr>
              <w:t>Detection and confinement/containment strategies</w:t>
            </w:r>
            <w:r w:rsidRPr="00030812">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2" w:rsidP="00030812">
            <w:pPr>
              <w:pStyle w:val="ListBullet"/>
            </w:pPr>
            <w:r w:rsidRPr="00030812">
              <w:t xml:space="preserve">defensive and offensive strategies for example: </w:t>
            </w:r>
          </w:p>
          <w:p w:rsidR="00000000" w:rsidRPr="00030812" w:rsidP="00030812">
            <w:pPr>
              <w:pStyle w:val="ListBullet"/>
            </w:pPr>
            <w:r w:rsidRPr="00030812">
              <w:t>over-packing including recovery drums or original containers</w:t>
            </w:r>
          </w:p>
          <w:p w:rsidR="00000000" w:rsidRPr="00030812" w:rsidP="00030812">
            <w:pPr>
              <w:pStyle w:val="ListBullet"/>
            </w:pPr>
            <w:r w:rsidRPr="00030812">
              <w:t>rescue</w:t>
            </w:r>
          </w:p>
          <w:p w:rsidR="00000000" w:rsidRPr="00030812" w:rsidP="00030812">
            <w:pPr>
              <w:pStyle w:val="ListBullet"/>
            </w:pPr>
            <w:r w:rsidRPr="00030812">
              <w:t>retention, absorbent materials and neutralisation of acids/bases</w:t>
            </w:r>
          </w:p>
          <w:p w:rsidR="00000000" w:rsidRPr="00030812" w:rsidP="00030812">
            <w:pPr>
              <w:pStyle w:val="ListBullet"/>
            </w:pPr>
            <w:r w:rsidRPr="00030812">
              <w:t>vapour suppression/blanketing and diking/diversion</w:t>
            </w:r>
          </w:p>
          <w:p w:rsidR="00000000" w:rsidP="00030812">
            <w:pPr>
              <w:pStyle w:val="ListBullet"/>
              <w:rPr>
                <w:lang w:val="en-NZ"/>
              </w:rPr>
            </w:pPr>
            <w:r w:rsidRPr="00030812">
              <w:t>ventilation and dispersion</w:t>
            </w:r>
          </w:p>
        </w:tc>
      </w:tr>
      <w:tr w:rsidTr="0003081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2">
            <w:pPr>
              <w:pStyle w:val="BodyText"/>
              <w:rPr>
                <w:lang w:val="en-NZ"/>
              </w:rPr>
            </w:pPr>
            <w:r w:rsidRPr="00030812">
              <w:t>and may also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2" w:rsidP="00030812">
            <w:pPr>
              <w:pStyle w:val="ListBullet"/>
            </w:pPr>
            <w:r w:rsidRPr="00030812">
              <w:t>damming – using booms</w:t>
            </w:r>
            <w:r w:rsidRPr="00030812">
              <w:t>, pads, overflow and underflow dams</w:t>
            </w:r>
          </w:p>
          <w:p w:rsidR="00000000" w:rsidRPr="00030812" w:rsidP="00030812">
            <w:pPr>
              <w:pStyle w:val="ListBullet"/>
            </w:pPr>
            <w:r w:rsidRPr="00030812">
              <w:t>defensive and offensive strategies that may include:</w:t>
            </w:r>
          </w:p>
          <w:p w:rsidR="00000000" w:rsidRPr="00030812" w:rsidP="00030812">
            <w:pPr>
              <w:pStyle w:val="ListBullet"/>
            </w:pPr>
            <w:r w:rsidRPr="00030812">
              <w:t>external organisation assistance</w:t>
            </w:r>
          </w:p>
          <w:p w:rsidR="00000000" w:rsidRPr="00030812" w:rsidP="00030812">
            <w:pPr>
              <w:pStyle w:val="ListBullet"/>
            </w:pPr>
            <w:r w:rsidRPr="00030812">
              <w:t>field product transfer including gases/liquids using both closed and open loop methods</w:t>
            </w:r>
          </w:p>
          <w:p w:rsidR="00000000" w:rsidRPr="00030812" w:rsidP="00030812">
            <w:pPr>
              <w:pStyle w:val="ListBullet"/>
            </w:pPr>
            <w:r w:rsidRPr="00030812">
              <w:t>flaring</w:t>
            </w:r>
          </w:p>
          <w:p w:rsidR="00000000" w:rsidRPr="00030812" w:rsidP="00030812">
            <w:pPr>
              <w:pStyle w:val="ListBullet"/>
            </w:pPr>
            <w:r w:rsidRPr="00030812">
              <w:t>freeze (ice) patching</w:t>
            </w:r>
          </w:p>
          <w:p w:rsidR="00000000" w:rsidRPr="00030812" w:rsidP="00030812">
            <w:pPr>
              <w:pStyle w:val="ListBullet"/>
            </w:pPr>
            <w:r w:rsidRPr="00030812">
              <w:t>grounding and bon</w:t>
            </w:r>
            <w:r w:rsidRPr="00030812">
              <w:t>ding</w:t>
            </w:r>
          </w:p>
          <w:p w:rsidR="00000000" w:rsidRPr="00030812" w:rsidP="00030812">
            <w:pPr>
              <w:pStyle w:val="ListBullet"/>
            </w:pPr>
            <w:r w:rsidRPr="00030812">
              <w:t xml:space="preserve">neutralisation of other materials, adsorption, gelation, emulsification and other chemical methods </w:t>
            </w:r>
          </w:p>
          <w:p w:rsidR="00000000" w:rsidRPr="00030812" w:rsidP="00030812">
            <w:pPr>
              <w:pStyle w:val="ListBullet"/>
            </w:pPr>
            <w:r w:rsidRPr="00030812">
              <w:t>plugging and patching</w:t>
            </w:r>
          </w:p>
          <w:p w:rsidR="00000000" w:rsidP="00030812">
            <w:pPr>
              <w:pStyle w:val="ListBullet"/>
              <w:rPr>
                <w:lang w:val="en-NZ"/>
              </w:rPr>
            </w:pPr>
            <w:r w:rsidRPr="00030812">
              <w:t>venting or vent and burn</w:t>
            </w:r>
          </w:p>
        </w:tc>
      </w:tr>
      <w:tr w:rsidTr="0003081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2">
            <w:pPr>
              <w:pStyle w:val="BodyText"/>
              <w:rPr>
                <w:lang w:val="en-NZ"/>
              </w:rPr>
            </w:pPr>
            <w:r w:rsidRPr="00030812">
              <w:rPr>
                <w:rStyle w:val="BoldandItalics"/>
              </w:rPr>
              <w:t>Organisations required to assist with operations</w:t>
            </w:r>
            <w:r w:rsidRPr="0003081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2" w:rsidP="00030812">
            <w:pPr>
              <w:pStyle w:val="ListBullet"/>
            </w:pPr>
            <w:r w:rsidRPr="00030812">
              <w:t>ambulance</w:t>
            </w:r>
          </w:p>
          <w:p w:rsidR="00000000" w:rsidRPr="00030812" w:rsidP="00030812">
            <w:pPr>
              <w:pStyle w:val="ListBullet"/>
            </w:pPr>
            <w:r w:rsidRPr="00030812">
              <w:t>companies</w:t>
            </w:r>
          </w:p>
          <w:p w:rsidR="00000000" w:rsidRPr="00030812" w:rsidP="00030812">
            <w:pPr>
              <w:pStyle w:val="ListBullet"/>
            </w:pPr>
            <w:r w:rsidRPr="00030812">
              <w:t>emergency services</w:t>
            </w:r>
          </w:p>
          <w:p w:rsidR="00000000" w:rsidRPr="00030812" w:rsidP="00030812">
            <w:pPr>
              <w:pStyle w:val="ListBullet"/>
            </w:pPr>
            <w:r w:rsidRPr="00030812">
              <w:t xml:space="preserve">government departments </w:t>
            </w:r>
          </w:p>
          <w:p w:rsidR="00000000" w:rsidRPr="00030812" w:rsidP="00030812">
            <w:pPr>
              <w:pStyle w:val="ListBullet"/>
            </w:pPr>
            <w:r w:rsidRPr="00030812">
              <w:t>local government</w:t>
            </w:r>
          </w:p>
          <w:p w:rsidR="00000000" w:rsidP="00030812">
            <w:pPr>
              <w:pStyle w:val="ListBullet"/>
              <w:rPr>
                <w:lang w:val="en-NZ"/>
              </w:rPr>
            </w:pPr>
            <w:r w:rsidRPr="00030812">
              <w:t>police</w:t>
            </w:r>
          </w:p>
        </w:tc>
      </w:tr>
      <w:tr w:rsidTr="0003081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2">
            <w:pPr>
              <w:pStyle w:val="BodyText"/>
              <w:rPr>
                <w:lang w:val="en-NZ"/>
              </w:rPr>
            </w:pPr>
            <w:r w:rsidRPr="00030812">
              <w:rPr>
                <w:rStyle w:val="BoldandItalics"/>
              </w:rPr>
              <w:t>Hazard control zones</w:t>
            </w:r>
            <w:r w:rsidRPr="00030812">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2" w:rsidP="00030812">
            <w:pPr>
              <w:pStyle w:val="ListBullet"/>
            </w:pPr>
            <w:r w:rsidRPr="00030812">
              <w:t>area of likely contamination (hot zone)</w:t>
            </w:r>
          </w:p>
          <w:p w:rsidR="00000000" w:rsidRPr="00030812" w:rsidP="00030812">
            <w:pPr>
              <w:pStyle w:val="ListBullet"/>
            </w:pPr>
            <w:r w:rsidRPr="00030812">
              <w:t>area of operations (warm zone)</w:t>
            </w:r>
          </w:p>
          <w:p w:rsidR="00000000" w:rsidRPr="00030812" w:rsidP="00030812">
            <w:pPr>
              <w:pStyle w:val="ListBullet"/>
            </w:pPr>
            <w:r w:rsidRPr="00030812">
              <w:t>controlled exits, entrances, refuges and emergency exits</w:t>
            </w:r>
          </w:p>
          <w:p w:rsidR="00000000" w:rsidRPr="00030812" w:rsidP="00030812">
            <w:pPr>
              <w:pStyle w:val="ListBullet"/>
            </w:pPr>
            <w:r w:rsidRPr="00030812">
              <w:t>criteria applied to determine the extent of hazardous areas</w:t>
            </w:r>
          </w:p>
          <w:p w:rsidR="00000000" w:rsidP="00030812">
            <w:pPr>
              <w:pStyle w:val="ListBullet"/>
              <w:rPr>
                <w:lang w:val="en-NZ"/>
              </w:rPr>
            </w:pPr>
            <w:r w:rsidRPr="00030812">
              <w:t>support zone (cold zone)</w:t>
            </w:r>
          </w:p>
        </w:tc>
      </w:tr>
      <w:tr w:rsidTr="0003081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2">
            <w:pPr>
              <w:pStyle w:val="BodyText"/>
              <w:rPr>
                <w:lang w:val="en-NZ"/>
              </w:rPr>
            </w:pPr>
            <w:r w:rsidRPr="00030812">
              <w:rPr>
                <w:rStyle w:val="BoldandItalics"/>
              </w:rPr>
              <w:t>Decontamination</w:t>
            </w:r>
            <w:r w:rsidRPr="00030812">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2" w:rsidP="00030812">
            <w:pPr>
              <w:pStyle w:val="ListBullet"/>
            </w:pPr>
            <w:r w:rsidRPr="00030812">
              <w:t>decontamination plan and corridors</w:t>
            </w:r>
          </w:p>
          <w:p w:rsidR="00000000" w:rsidRPr="00030812" w:rsidP="00030812">
            <w:pPr>
              <w:pStyle w:val="ListBullet"/>
            </w:pPr>
            <w:r w:rsidRPr="00030812">
              <w:t>emergency decontamination</w:t>
            </w:r>
          </w:p>
          <w:p w:rsidR="00000000" w:rsidRPr="00030812" w:rsidP="00030812">
            <w:pPr>
              <w:pStyle w:val="ListBullet"/>
            </w:pPr>
            <w:r w:rsidRPr="00030812">
              <w:t xml:space="preserve">emergency mass decontamination </w:t>
            </w:r>
          </w:p>
          <w:p w:rsidR="00000000" w:rsidP="00030812">
            <w:pPr>
              <w:pStyle w:val="ListBullet"/>
              <w:rPr>
                <w:lang w:val="en-NZ"/>
              </w:rPr>
            </w:pPr>
            <w:r w:rsidRPr="00030812">
              <w:t>technical decontamination</w:t>
            </w:r>
          </w:p>
        </w:tc>
      </w:tr>
      <w:tr w:rsidTr="0003081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2">
            <w:pPr>
              <w:pStyle w:val="BodyText"/>
              <w:rPr>
                <w:lang w:val="en-NZ"/>
              </w:rPr>
            </w:pPr>
            <w:r w:rsidRPr="00030812">
              <w:rPr>
                <w:rStyle w:val="BoldandItalics"/>
              </w:rPr>
              <w:t>Decontamination</w:t>
            </w:r>
            <w:r w:rsidRPr="00030812">
              <w:t xml:space="preserve"> may</w:t>
            </w:r>
            <w:r w:rsidRPr="00030812">
              <w:t xml:space="preserve">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2" w:rsidP="00030812">
            <w:pPr>
              <w:pStyle w:val="ListBullet"/>
            </w:pPr>
            <w:r w:rsidRPr="00030812">
              <w:t>alternative water decontamination techniques</w:t>
            </w:r>
          </w:p>
          <w:p w:rsidR="00000000" w:rsidRPr="00030812" w:rsidP="00030812">
            <w:pPr>
              <w:pStyle w:val="ListBullet"/>
            </w:pPr>
            <w:r w:rsidRPr="00030812">
              <w:t>alternative wet decontamination techniques</w:t>
            </w:r>
          </w:p>
          <w:p w:rsidR="00000000" w:rsidRPr="00030812" w:rsidP="00030812">
            <w:pPr>
              <w:pStyle w:val="ListBullet"/>
            </w:pPr>
            <w:r w:rsidRPr="00030812">
              <w:t>detection strategies applied for decontamination</w:t>
            </w:r>
          </w:p>
          <w:p w:rsidR="00000000" w:rsidRPr="00030812" w:rsidP="00030812">
            <w:pPr>
              <w:pStyle w:val="ListBullet"/>
            </w:pPr>
            <w:r w:rsidRPr="00030812">
              <w:t>dry decontamination techniques</w:t>
            </w:r>
          </w:p>
          <w:p w:rsidR="00000000" w:rsidRPr="00030812" w:rsidP="00030812">
            <w:pPr>
              <w:pStyle w:val="ListBullet"/>
            </w:pPr>
            <w:r w:rsidRPr="00030812">
              <w:t>external organisation assistance</w:t>
            </w:r>
          </w:p>
        </w:tc>
      </w:tr>
    </w:tbl>
    <w:p w:rsidR="004E0B28" w:rsidP="00030812">
      <w:pPr>
        <w:pStyle w:val="BodyText"/>
      </w:pPr>
    </w:p>
    <w:p w:rsidR="004E0B28" w:rsidP="00030812">
      <w:pPr>
        <w:pStyle w:val="BodyText"/>
      </w:pPr>
    </w:p>
    <w:p w:rsidR="00000000" w:rsidRPr="00030812" w:rsidP="00030812">
      <w:pPr>
        <w:pStyle w:val="Heading1"/>
      </w:pPr>
      <w:bookmarkStart w:id="12" w:name="O_570004"/>
      <w:bookmarkEnd w:id="12"/>
      <w:r w:rsidRPr="00030812">
        <w:t>Unit Sector(s)</w:t>
      </w:r>
    </w:p>
    <w:p w:rsidR="00000000" w:rsidRPr="00030812" w:rsidP="00030812">
      <w:pPr>
        <w:pStyle w:val="BodyText"/>
      </w:pPr>
      <w:r w:rsidRPr="00030812">
        <w:t>Not applicable.</w:t>
      </w:r>
    </w:p>
    <w:p w:rsidR="00000000" w:rsidRPr="00030812" w:rsidP="00030812"/>
    <w:sectPr w:rsidSect="000308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8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812" w:rsidRPr="004E0B28" w:rsidP="004E0B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8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B28" w:rsidP="000308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E0B28" w:rsidP="0003081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4E0B28" w:rsidP="000308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8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812" w:rsidRPr="004E0B28" w:rsidP="004E0B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8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B28" w:rsidRPr="002D2AF8" w:rsidP="00030812">
    <w:pPr>
      <w:pStyle w:val="Header"/>
      <w:framePr w:wrap="around"/>
    </w:pPr>
    <w:r>
      <w:fldChar w:fldCharType="begin"/>
    </w:r>
    <w:r>
      <w:instrText xml:space="preserve"> TITLE   \* MERGEFORMAT </w:instrText>
    </w:r>
    <w:r>
      <w:fldChar w:fldCharType="separate"/>
    </w:r>
    <w:r>
      <w:t>PUAFIR320 Render hazardous materials incidents safe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4E0B28" w:rsidP="000308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809E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3240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8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0812"/>
    <w:pPr>
      <w:spacing w:before="360" w:after="60"/>
      <w:outlineLvl w:val="0"/>
    </w:pPr>
    <w:rPr>
      <w:sz w:val="32"/>
    </w:rPr>
  </w:style>
  <w:style w:type="paragraph" w:styleId="Heading2">
    <w:name w:val="heading 2"/>
    <w:basedOn w:val="HeadingBase"/>
    <w:next w:val="BodyText"/>
    <w:link w:val="Heading2Char"/>
    <w:qFormat/>
    <w:rsid w:val="00030812"/>
    <w:pPr>
      <w:keepLines/>
      <w:spacing w:before="240" w:after="120"/>
      <w:outlineLvl w:val="1"/>
    </w:pPr>
    <w:rPr>
      <w:sz w:val="28"/>
      <w:szCs w:val="40"/>
    </w:rPr>
  </w:style>
  <w:style w:type="paragraph" w:styleId="Heading3">
    <w:name w:val="heading 3"/>
    <w:basedOn w:val="HeadingBase"/>
    <w:next w:val="BodyText"/>
    <w:link w:val="Heading3Char"/>
    <w:qFormat/>
    <w:rsid w:val="00030812"/>
    <w:pPr>
      <w:spacing w:before="180" w:after="120"/>
      <w:outlineLvl w:val="2"/>
    </w:pPr>
    <w:rPr>
      <w:spacing w:val="-10"/>
      <w:kern w:val="32"/>
    </w:rPr>
  </w:style>
  <w:style w:type="paragraph" w:styleId="Heading4">
    <w:name w:val="heading 4"/>
    <w:basedOn w:val="HeadingBase"/>
    <w:next w:val="BodyText"/>
    <w:link w:val="Heading4Char"/>
    <w:qFormat/>
    <w:rsid w:val="00030812"/>
    <w:pPr>
      <w:spacing w:before="160" w:after="120"/>
      <w:outlineLvl w:val="3"/>
    </w:pPr>
    <w:rPr>
      <w:sz w:val="22"/>
    </w:rPr>
  </w:style>
  <w:style w:type="paragraph" w:styleId="Heading5">
    <w:name w:val="heading 5"/>
    <w:basedOn w:val="HeadingBase"/>
    <w:next w:val="Normal"/>
    <w:link w:val="Heading5Char"/>
    <w:qFormat/>
    <w:rsid w:val="00030812"/>
    <w:pPr>
      <w:spacing w:before="80"/>
      <w:outlineLvl w:val="4"/>
    </w:pPr>
    <w:rPr>
      <w:color w:val="918585"/>
      <w:sz w:val="20"/>
    </w:rPr>
  </w:style>
  <w:style w:type="paragraph" w:styleId="Heading6">
    <w:name w:val="heading 6"/>
    <w:basedOn w:val="HeadingBase"/>
    <w:next w:val="Normal"/>
    <w:link w:val="Heading6Char"/>
    <w:qFormat/>
    <w:rsid w:val="00030812"/>
    <w:pPr>
      <w:spacing w:before="60"/>
      <w:outlineLvl w:val="5"/>
    </w:pPr>
    <w:rPr>
      <w:color w:val="918585"/>
      <w:sz w:val="20"/>
    </w:rPr>
  </w:style>
  <w:style w:type="paragraph" w:styleId="Heading7">
    <w:name w:val="heading 7"/>
    <w:basedOn w:val="Normal"/>
    <w:next w:val="Normal"/>
    <w:link w:val="Heading7Char"/>
    <w:qFormat/>
    <w:rsid w:val="00030812"/>
    <w:pPr>
      <w:ind w:left="720"/>
      <w:outlineLvl w:val="6"/>
    </w:pPr>
    <w:rPr>
      <w:i/>
    </w:rPr>
  </w:style>
  <w:style w:type="paragraph" w:styleId="Heading8">
    <w:name w:val="heading 8"/>
    <w:basedOn w:val="Normal"/>
    <w:next w:val="Normal"/>
    <w:link w:val="Heading8Char"/>
    <w:qFormat/>
    <w:rsid w:val="00030812"/>
    <w:pPr>
      <w:ind w:left="720"/>
      <w:outlineLvl w:val="7"/>
    </w:pPr>
    <w:rPr>
      <w:i/>
    </w:rPr>
  </w:style>
  <w:style w:type="paragraph" w:styleId="Heading9">
    <w:name w:val="heading 9"/>
    <w:basedOn w:val="Normal"/>
    <w:next w:val="Normal"/>
    <w:link w:val="Heading9Char"/>
    <w:qFormat/>
    <w:rsid w:val="00030812"/>
    <w:pPr>
      <w:ind w:left="720"/>
      <w:outlineLvl w:val="8"/>
    </w:pPr>
    <w:rPr>
      <w:i/>
    </w:rPr>
  </w:style>
  <w:style w:type="character" w:default="1" w:styleId="DefaultParagraphFont">
    <w:name w:val="Default Paragraph Font"/>
    <w:uiPriority w:val="1"/>
    <w:unhideWhenUsed/>
    <w:rsid w:val="000308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812"/>
  </w:style>
  <w:style w:type="character" w:customStyle="1" w:styleId="Heading1Char">
    <w:name w:val="Heading 1 Char"/>
    <w:basedOn w:val="DefaultParagraphFont"/>
    <w:link w:val="Heading1"/>
    <w:rsid w:val="00030812"/>
    <w:rPr>
      <w:rFonts w:ascii="Times New Roman" w:eastAsia="Times New Roman" w:hAnsi="Times New Roman" w:cs="Times New Roman"/>
      <w:b/>
      <w:sz w:val="32"/>
      <w:szCs w:val="20"/>
      <w:lang w:eastAsia="en-US"/>
    </w:rPr>
  </w:style>
  <w:style w:type="paragraph" w:styleId="BodyText">
    <w:name w:val="Body Text"/>
    <w:basedOn w:val="Normal"/>
    <w:link w:val="BodyTextChar"/>
    <w:rsid w:val="000308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0812"/>
    <w:rPr>
      <w:rFonts w:ascii="Times New Roman" w:eastAsia="Times New Roman" w:hAnsi="Times New Roman" w:cs="Times New Roman"/>
      <w:sz w:val="24"/>
      <w:lang w:eastAsia="en-US"/>
    </w:rPr>
  </w:style>
  <w:style w:type="paragraph" w:styleId="List">
    <w:name w:val="List"/>
    <w:basedOn w:val="BodyText"/>
    <w:next w:val="BodyText"/>
    <w:rsid w:val="00030812"/>
    <w:pPr>
      <w:tabs>
        <w:tab w:val="left" w:pos="340"/>
      </w:tabs>
      <w:spacing w:before="60" w:after="60"/>
      <w:ind w:left="340" w:hanging="340"/>
    </w:pPr>
  </w:style>
  <w:style w:type="paragraph" w:styleId="ListBullet">
    <w:name w:val="List Bullet"/>
    <w:basedOn w:val="List"/>
    <w:rsid w:val="00030812"/>
    <w:pPr>
      <w:numPr>
        <w:numId w:val="12"/>
      </w:numPr>
      <w:tabs>
        <w:tab w:val="clear" w:pos="340"/>
      </w:tabs>
      <w:spacing w:before="40" w:after="40"/>
    </w:pPr>
  </w:style>
  <w:style w:type="character" w:customStyle="1" w:styleId="SpecialBold">
    <w:name w:val="Special Bold"/>
    <w:basedOn w:val="DefaultParagraphFont"/>
    <w:rsid w:val="00030812"/>
    <w:rPr>
      <w:b/>
      <w:spacing w:val="0"/>
    </w:rPr>
  </w:style>
  <w:style w:type="paragraph" w:customStyle="1" w:styleId="SuperHeading">
    <w:name w:val="SuperHeading"/>
    <w:basedOn w:val="Normal"/>
    <w:rsid w:val="00030812"/>
    <w:pPr>
      <w:spacing w:before="240" w:after="120"/>
      <w:outlineLvl w:val="0"/>
    </w:pPr>
    <w:rPr>
      <w:rFonts w:ascii="Times New Roman" w:hAnsi="Times New Roman"/>
      <w:b/>
      <w:sz w:val="32"/>
    </w:rPr>
  </w:style>
  <w:style w:type="paragraph" w:customStyle="1" w:styleId="AllowPageBreak">
    <w:name w:val="AllowPageBreak"/>
    <w:rsid w:val="000308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30812"/>
    <w:rPr>
      <w:b/>
      <w:i/>
      <w:u w:val="none"/>
    </w:rPr>
  </w:style>
  <w:style w:type="character" w:customStyle="1" w:styleId="Heading2Char">
    <w:name w:val="Heading 2 Char"/>
    <w:basedOn w:val="DefaultParagraphFont"/>
    <w:link w:val="Heading2"/>
    <w:rsid w:val="000308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8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8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8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8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8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08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0812"/>
    <w:rPr>
      <w:rFonts w:ascii="Courier New" w:eastAsia="Times New Roman" w:hAnsi="Courier New" w:cs="Times New Roman"/>
      <w:i/>
      <w:szCs w:val="20"/>
      <w:lang w:eastAsia="en-US"/>
    </w:rPr>
  </w:style>
  <w:style w:type="paragraph" w:customStyle="1" w:styleId="HeadingBase">
    <w:name w:val="Heading Base"/>
    <w:rsid w:val="000308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812"/>
    <w:pPr>
      <w:tabs>
        <w:tab w:val="right" w:leader="dot" w:pos="9072"/>
      </w:tabs>
      <w:ind w:left="567"/>
    </w:pPr>
    <w:rPr>
      <w:szCs w:val="22"/>
    </w:rPr>
  </w:style>
  <w:style w:type="paragraph" w:customStyle="1" w:styleId="TOCBase">
    <w:name w:val="TOC Base"/>
    <w:rsid w:val="000308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812"/>
    <w:pPr>
      <w:tabs>
        <w:tab w:val="right" w:leader="dot" w:pos="9072"/>
      </w:tabs>
      <w:spacing w:before="40" w:after="40"/>
      <w:ind w:left="284"/>
    </w:pPr>
    <w:rPr>
      <w:rFonts w:ascii="Times New Roman" w:hAnsi="Times New Roman"/>
    </w:rPr>
  </w:style>
  <w:style w:type="paragraph" w:styleId="TOC1">
    <w:name w:val="toc 1"/>
    <w:basedOn w:val="TOCBase"/>
    <w:next w:val="Normal"/>
    <w:rsid w:val="000308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08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812"/>
    <w:rPr>
      <w:rFonts w:ascii="Times New Roman" w:eastAsia="Times New Roman" w:hAnsi="Times New Roman" w:cs="Times New Roman"/>
      <w:sz w:val="16"/>
      <w:lang w:eastAsia="en-US"/>
    </w:rPr>
  </w:style>
  <w:style w:type="paragraph" w:styleId="Title">
    <w:name w:val="Title"/>
    <w:basedOn w:val="HeadingBase"/>
    <w:link w:val="TitleChar"/>
    <w:qFormat/>
    <w:rsid w:val="00030812"/>
    <w:pPr>
      <w:spacing w:before="5040"/>
      <w:jc w:val="center"/>
    </w:pPr>
    <w:rPr>
      <w:sz w:val="48"/>
      <w:szCs w:val="72"/>
      <w:lang w:val="en-US"/>
    </w:rPr>
  </w:style>
  <w:style w:type="character" w:customStyle="1" w:styleId="TitleChar">
    <w:name w:val="Title Char"/>
    <w:basedOn w:val="DefaultParagraphFont"/>
    <w:link w:val="Title"/>
    <w:rsid w:val="000308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812"/>
    <w:pPr>
      <w:tabs>
        <w:tab w:val="left" w:pos="3600"/>
        <w:tab w:val="left" w:pos="3958"/>
      </w:tabs>
    </w:pPr>
  </w:style>
  <w:style w:type="paragraph" w:customStyle="1" w:styleId="Note">
    <w:name w:val="Note"/>
    <w:basedOn w:val="BodyText"/>
    <w:rsid w:val="000308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0812"/>
    <w:pPr>
      <w:framePr w:wrap="auto" w:hAnchor="text" w:y="6049"/>
    </w:pPr>
    <w:rPr>
      <w:color w:val="000000"/>
      <w:sz w:val="40"/>
    </w:rPr>
  </w:style>
  <w:style w:type="paragraph" w:customStyle="1" w:styleId="TOCTitle">
    <w:name w:val="TOCTitle"/>
    <w:basedOn w:val="Heading1"/>
    <w:rsid w:val="00030812"/>
    <w:pPr>
      <w:spacing w:after="240"/>
      <w:jc w:val="center"/>
      <w:outlineLvl w:val="9"/>
    </w:pPr>
    <w:rPr>
      <w:caps/>
    </w:rPr>
  </w:style>
  <w:style w:type="paragraph" w:customStyle="1" w:styleId="Version">
    <w:name w:val="Version"/>
    <w:rsid w:val="000308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0812"/>
    <w:pPr>
      <w:numPr>
        <w:numId w:val="13"/>
      </w:numPr>
      <w:tabs>
        <w:tab w:val="clear" w:pos="680"/>
      </w:tabs>
    </w:pPr>
  </w:style>
  <w:style w:type="paragraph" w:styleId="Index1">
    <w:name w:val="index 1"/>
    <w:basedOn w:val="Normal"/>
    <w:next w:val="Normal"/>
    <w:semiHidden/>
    <w:rsid w:val="00030812"/>
    <w:pPr>
      <w:keepNext w:val="0"/>
      <w:tabs>
        <w:tab w:val="right" w:pos="4176"/>
      </w:tabs>
      <w:ind w:left="198" w:hanging="198"/>
    </w:pPr>
    <w:rPr>
      <w:rFonts w:ascii="Garamond" w:hAnsi="Garamond"/>
    </w:rPr>
  </w:style>
  <w:style w:type="paragraph" w:styleId="IndexHeading">
    <w:name w:val="index heading"/>
    <w:basedOn w:val="Normal"/>
    <w:next w:val="Index1"/>
    <w:semiHidden/>
    <w:rsid w:val="00030812"/>
    <w:pPr>
      <w:spacing w:before="120" w:after="120"/>
    </w:pPr>
    <w:rPr>
      <w:rFonts w:ascii="Arial" w:hAnsi="Arial"/>
      <w:b/>
      <w:color w:val="918585"/>
      <w:sz w:val="24"/>
    </w:rPr>
  </w:style>
  <w:style w:type="paragraph" w:styleId="Header">
    <w:name w:val="header"/>
    <w:basedOn w:val="Normal"/>
    <w:link w:val="HeaderChar"/>
    <w:rsid w:val="000308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812"/>
    <w:rPr>
      <w:rFonts w:ascii="Times New Roman" w:eastAsia="Times New Roman" w:hAnsi="Times New Roman" w:cs="Times New Roman"/>
      <w:sz w:val="16"/>
      <w:szCs w:val="20"/>
      <w:lang w:val="en-GB" w:eastAsia="en-US"/>
    </w:rPr>
  </w:style>
  <w:style w:type="paragraph" w:customStyle="1" w:styleId="Chapter">
    <w:name w:val="Chapter"/>
    <w:basedOn w:val="Normal"/>
    <w:rsid w:val="00030812"/>
    <w:pPr>
      <w:spacing w:before="240"/>
    </w:pPr>
    <w:rPr>
      <w:rFonts w:ascii="Times New Roman" w:hAnsi="Times New Roman"/>
      <w:smallCaps/>
      <w:spacing w:val="80"/>
      <w:sz w:val="28"/>
    </w:rPr>
  </w:style>
  <w:style w:type="paragraph" w:customStyle="1" w:styleId="InChapter">
    <w:name w:val="InChapter"/>
    <w:basedOn w:val="Heading3"/>
    <w:rsid w:val="00030812"/>
    <w:pPr>
      <w:spacing w:after="240"/>
      <w:outlineLvl w:val="9"/>
    </w:pPr>
    <w:rPr>
      <w:noProof/>
    </w:rPr>
  </w:style>
  <w:style w:type="paragraph" w:styleId="Index2">
    <w:name w:val="index 2"/>
    <w:basedOn w:val="Normal"/>
    <w:next w:val="Normal"/>
    <w:semiHidden/>
    <w:rsid w:val="00030812"/>
    <w:pPr>
      <w:tabs>
        <w:tab w:val="right" w:pos="4176"/>
      </w:tabs>
      <w:ind w:left="568" w:hanging="284"/>
    </w:pPr>
    <w:rPr>
      <w:rFonts w:ascii="Garamond" w:hAnsi="Garamond"/>
    </w:rPr>
  </w:style>
  <w:style w:type="paragraph" w:customStyle="1" w:styleId="Byline">
    <w:name w:val="Byline"/>
    <w:rsid w:val="000308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812"/>
    <w:pPr>
      <w:tabs>
        <w:tab w:val="clear" w:pos="3600"/>
        <w:tab w:val="clear" w:pos="3958"/>
      </w:tabs>
      <w:jc w:val="right"/>
    </w:pPr>
  </w:style>
  <w:style w:type="character" w:styleId="Emphasis">
    <w:name w:val="Emphasis"/>
    <w:basedOn w:val="DefaultParagraphFont"/>
    <w:qFormat/>
    <w:rsid w:val="00030812"/>
    <w:rPr>
      <w:i/>
    </w:rPr>
  </w:style>
  <w:style w:type="paragraph" w:styleId="Caption">
    <w:name w:val="caption"/>
    <w:basedOn w:val="BodyText"/>
    <w:next w:val="Normal"/>
    <w:qFormat/>
    <w:rsid w:val="00030812"/>
    <w:pPr>
      <w:framePr w:w="2268" w:hSpace="181" w:vSpace="181" w:wrap="around" w:vAnchor="text" w:hAnchor="page" w:x="1135" w:y="285" w:anchorLock="1"/>
    </w:pPr>
    <w:rPr>
      <w:i/>
    </w:rPr>
  </w:style>
  <w:style w:type="paragraph" w:customStyle="1" w:styleId="MiniTOCTitle">
    <w:name w:val="MiniTOCTitle"/>
    <w:basedOn w:val="Heading4"/>
    <w:rsid w:val="00030812"/>
    <w:pPr>
      <w:spacing w:before="240"/>
      <w:outlineLvl w:val="9"/>
    </w:pPr>
    <w:rPr>
      <w:noProof/>
      <w:sz w:val="24"/>
    </w:rPr>
  </w:style>
  <w:style w:type="paragraph" w:customStyle="1" w:styleId="MiniTOCItem">
    <w:name w:val="MiniTOCItem"/>
    <w:basedOn w:val="ListBullet"/>
    <w:rsid w:val="00030812"/>
    <w:pPr>
      <w:numPr>
        <w:numId w:val="0"/>
      </w:numPr>
      <w:tabs>
        <w:tab w:val="right" w:leader="dot" w:pos="6521"/>
      </w:tabs>
      <w:spacing w:before="0" w:after="0"/>
    </w:pPr>
  </w:style>
  <w:style w:type="paragraph" w:customStyle="1" w:styleId="TOFTitle">
    <w:name w:val="TOFTitle"/>
    <w:basedOn w:val="TOCTitle"/>
    <w:rsid w:val="00030812"/>
  </w:style>
  <w:style w:type="paragraph" w:styleId="TableofFigures">
    <w:name w:val="table of figures"/>
    <w:basedOn w:val="Normal"/>
    <w:next w:val="Normal"/>
    <w:semiHidden/>
    <w:rsid w:val="00030812"/>
    <w:pPr>
      <w:tabs>
        <w:tab w:val="right" w:leader="dot" w:pos="9072"/>
      </w:tabs>
      <w:ind w:left="970" w:hanging="403"/>
    </w:pPr>
    <w:rPr>
      <w:rFonts w:ascii="Times New Roman" w:hAnsi="Times New Roman"/>
      <w:b/>
    </w:rPr>
  </w:style>
  <w:style w:type="paragraph" w:styleId="ListNumber">
    <w:name w:val="List Number"/>
    <w:basedOn w:val="List"/>
    <w:rsid w:val="00030812"/>
    <w:pPr>
      <w:numPr>
        <w:numId w:val="10"/>
      </w:numPr>
    </w:pPr>
  </w:style>
  <w:style w:type="character" w:customStyle="1" w:styleId="WingdingSymbols">
    <w:name w:val="Wingding Symbols"/>
    <w:rsid w:val="00030812"/>
    <w:rPr>
      <w:rFonts w:ascii="Wingdings" w:hAnsi="Wingdings"/>
    </w:rPr>
  </w:style>
  <w:style w:type="paragraph" w:customStyle="1" w:styleId="TableHeading">
    <w:name w:val="Table Heading"/>
    <w:basedOn w:val="HeadingBase"/>
    <w:rsid w:val="00030812"/>
    <w:pPr>
      <w:keepLines/>
      <w:pBdr>
        <w:bottom w:val="single" w:sz="6" w:space="1" w:color="918585"/>
      </w:pBdr>
      <w:spacing w:before="240"/>
    </w:pPr>
  </w:style>
  <w:style w:type="character" w:customStyle="1" w:styleId="HotSpot">
    <w:name w:val="HotSpot"/>
    <w:rsid w:val="00030812"/>
    <w:rPr>
      <w:color w:val="0033CC"/>
      <w:u w:val="none"/>
    </w:rPr>
  </w:style>
  <w:style w:type="paragraph" w:customStyle="1" w:styleId="BodyTextRight">
    <w:name w:val="Body Text Right"/>
    <w:basedOn w:val="BodyText"/>
    <w:rsid w:val="00030812"/>
    <w:pPr>
      <w:spacing w:before="0" w:after="0"/>
      <w:jc w:val="right"/>
    </w:pPr>
  </w:style>
  <w:style w:type="paragraph" w:styleId="Index3">
    <w:name w:val="index 3"/>
    <w:basedOn w:val="ListNumber2"/>
    <w:next w:val="Normal"/>
    <w:semiHidden/>
    <w:rsid w:val="00030812"/>
    <w:pPr>
      <w:numPr>
        <w:numId w:val="0"/>
      </w:numPr>
      <w:tabs>
        <w:tab w:val="right" w:leader="dot" w:pos="4176"/>
      </w:tabs>
    </w:pPr>
  </w:style>
  <w:style w:type="paragraph" w:styleId="ListNumber2">
    <w:name w:val="List Number 2"/>
    <w:basedOn w:val="List2"/>
    <w:rsid w:val="00030812"/>
    <w:pPr>
      <w:numPr>
        <w:numId w:val="9"/>
      </w:numPr>
      <w:tabs>
        <w:tab w:val="clear" w:pos="1060"/>
      </w:tabs>
    </w:pPr>
  </w:style>
  <w:style w:type="paragraph" w:customStyle="1" w:styleId="MarginNote">
    <w:name w:val="Margin Note"/>
    <w:basedOn w:val="BodyText"/>
    <w:rsid w:val="000308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8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8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0812"/>
    <w:rPr>
      <w:sz w:val="32"/>
    </w:rPr>
  </w:style>
  <w:style w:type="paragraph" w:customStyle="1" w:styleId="HeadingProcedure">
    <w:name w:val="Heading Procedure"/>
    <w:basedOn w:val="HeadingBase"/>
    <w:next w:val="Normal"/>
    <w:rsid w:val="00030812"/>
    <w:pPr>
      <w:tabs>
        <w:tab w:val="left" w:pos="0"/>
      </w:tabs>
      <w:spacing w:before="120" w:after="60"/>
    </w:pPr>
    <w:rPr>
      <w:i/>
      <w:color w:val="918585"/>
      <w:sz w:val="22"/>
    </w:rPr>
  </w:style>
  <w:style w:type="paragraph" w:customStyle="1" w:styleId="TableBodyText">
    <w:name w:val="Table Body Text"/>
    <w:basedOn w:val="BodyText"/>
    <w:rsid w:val="00030812"/>
    <w:pPr>
      <w:spacing w:before="60" w:after="60"/>
    </w:pPr>
  </w:style>
  <w:style w:type="paragraph" w:styleId="ListContinue">
    <w:name w:val="List Continue"/>
    <w:basedOn w:val="List"/>
    <w:rsid w:val="00030812"/>
    <w:pPr>
      <w:ind w:firstLine="0"/>
    </w:pPr>
  </w:style>
  <w:style w:type="paragraph" w:customStyle="1" w:styleId="ListNote">
    <w:name w:val="List Note"/>
    <w:basedOn w:val="List"/>
    <w:rsid w:val="00030812"/>
    <w:pPr>
      <w:pBdr>
        <w:top w:val="single" w:sz="6" w:space="2" w:color="918585"/>
        <w:bottom w:val="single" w:sz="6" w:space="2" w:color="918585"/>
      </w:pBdr>
      <w:tabs>
        <w:tab w:val="left" w:pos="1021"/>
      </w:tabs>
      <w:ind w:firstLine="0"/>
    </w:pPr>
  </w:style>
  <w:style w:type="paragraph" w:customStyle="1" w:styleId="Warning">
    <w:name w:val="Warning"/>
    <w:basedOn w:val="BodyText"/>
    <w:rsid w:val="00030812"/>
    <w:pPr>
      <w:shd w:val="clear" w:color="auto" w:fill="D9D9D9"/>
      <w:tabs>
        <w:tab w:val="left" w:pos="992"/>
      </w:tabs>
      <w:ind w:left="119" w:right="119"/>
    </w:pPr>
    <w:rPr>
      <w:sz w:val="20"/>
    </w:rPr>
  </w:style>
  <w:style w:type="paragraph" w:customStyle="1" w:styleId="MarginIcons">
    <w:name w:val="Margin Icons"/>
    <w:basedOn w:val="BodyText"/>
    <w:rsid w:val="000308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812"/>
    <w:rPr>
      <w:rFonts w:ascii="Courier New" w:hAnsi="Courier New"/>
    </w:rPr>
  </w:style>
  <w:style w:type="paragraph" w:customStyle="1" w:styleId="NoteBullet">
    <w:name w:val="Note Bullet"/>
    <w:basedOn w:val="Note"/>
    <w:rsid w:val="00030812"/>
    <w:pPr>
      <w:tabs>
        <w:tab w:val="clear" w:pos="680"/>
      </w:tabs>
      <w:spacing w:before="60" w:after="60"/>
    </w:pPr>
  </w:style>
  <w:style w:type="paragraph" w:customStyle="1" w:styleId="SubHeading2">
    <w:name w:val="SubHeading2"/>
    <w:basedOn w:val="HeadingBase"/>
    <w:rsid w:val="00030812"/>
    <w:pPr>
      <w:spacing w:before="240" w:after="60"/>
    </w:pPr>
    <w:rPr>
      <w:sz w:val="20"/>
    </w:rPr>
  </w:style>
  <w:style w:type="paragraph" w:customStyle="1" w:styleId="SubHeading1">
    <w:name w:val="SubHeading1"/>
    <w:basedOn w:val="HeadingBase"/>
    <w:rsid w:val="00030812"/>
    <w:pPr>
      <w:spacing w:before="240" w:after="60"/>
    </w:pPr>
    <w:rPr>
      <w:color w:val="918585"/>
      <w:sz w:val="22"/>
    </w:rPr>
  </w:style>
  <w:style w:type="paragraph" w:customStyle="1" w:styleId="SideHeading">
    <w:name w:val="Side Heading"/>
    <w:basedOn w:val="HeadingBase"/>
    <w:rsid w:val="000308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812"/>
    <w:pPr>
      <w:tabs>
        <w:tab w:val="num" w:pos="360"/>
      </w:tabs>
    </w:pPr>
  </w:style>
  <w:style w:type="paragraph" w:styleId="PlainText">
    <w:name w:val="Plain Text"/>
    <w:basedOn w:val="Normal"/>
    <w:link w:val="PlainTextChar"/>
    <w:rsid w:val="00030812"/>
    <w:rPr>
      <w:sz w:val="20"/>
    </w:rPr>
  </w:style>
  <w:style w:type="character" w:customStyle="1" w:styleId="PlainTextChar">
    <w:name w:val="Plain Text Char"/>
    <w:basedOn w:val="DefaultParagraphFont"/>
    <w:link w:val="PlainText"/>
    <w:rsid w:val="00030812"/>
    <w:rPr>
      <w:rFonts w:ascii="Courier New" w:eastAsia="Times New Roman" w:hAnsi="Courier New" w:cs="Times New Roman"/>
      <w:sz w:val="20"/>
      <w:szCs w:val="20"/>
      <w:lang w:eastAsia="en-US"/>
    </w:rPr>
  </w:style>
  <w:style w:type="character" w:customStyle="1" w:styleId="MenuOption">
    <w:name w:val="Menu Option"/>
    <w:basedOn w:val="DefaultParagraphFont"/>
    <w:rsid w:val="00030812"/>
    <w:rPr>
      <w:b/>
      <w:smallCaps/>
    </w:rPr>
  </w:style>
  <w:style w:type="paragraph" w:customStyle="1" w:styleId="TableListNumber">
    <w:name w:val="Table List Number"/>
    <w:basedOn w:val="ListNumber"/>
    <w:rsid w:val="00030812"/>
    <w:pPr>
      <w:numPr>
        <w:numId w:val="0"/>
      </w:numPr>
    </w:pPr>
  </w:style>
  <w:style w:type="paragraph" w:styleId="TOC4">
    <w:name w:val="toc 4"/>
    <w:basedOn w:val="TOCBase"/>
    <w:next w:val="Normal"/>
    <w:semiHidden/>
    <w:rsid w:val="00030812"/>
    <w:pPr>
      <w:tabs>
        <w:tab w:val="right" w:leader="dot" w:pos="9071"/>
      </w:tabs>
      <w:ind w:left="1701"/>
    </w:pPr>
  </w:style>
  <w:style w:type="paragraph" w:customStyle="1" w:styleId="ListAlpha">
    <w:name w:val="List Alpha"/>
    <w:basedOn w:val="List"/>
    <w:rsid w:val="00030812"/>
    <w:pPr>
      <w:numPr>
        <w:numId w:val="8"/>
      </w:numPr>
    </w:pPr>
  </w:style>
  <w:style w:type="paragraph" w:customStyle="1" w:styleId="ListAlpha2">
    <w:name w:val="List Alpha 2"/>
    <w:basedOn w:val="List2"/>
    <w:rsid w:val="00030812"/>
    <w:pPr>
      <w:numPr>
        <w:numId w:val="7"/>
      </w:numPr>
    </w:pPr>
  </w:style>
  <w:style w:type="paragraph" w:styleId="List2">
    <w:name w:val="List 2"/>
    <w:basedOn w:val="BodyText"/>
    <w:rsid w:val="00030812"/>
    <w:pPr>
      <w:tabs>
        <w:tab w:val="left" w:pos="680"/>
      </w:tabs>
      <w:spacing w:before="60" w:after="60"/>
      <w:ind w:left="680" w:hanging="340"/>
    </w:pPr>
  </w:style>
  <w:style w:type="paragraph" w:styleId="List3">
    <w:name w:val="List 3"/>
    <w:basedOn w:val="BodyText"/>
    <w:rsid w:val="00030812"/>
    <w:pPr>
      <w:tabs>
        <w:tab w:val="left" w:pos="1021"/>
      </w:tabs>
      <w:spacing w:before="60" w:after="60"/>
      <w:ind w:left="1020" w:hanging="340"/>
    </w:pPr>
  </w:style>
  <w:style w:type="paragraph" w:styleId="List4">
    <w:name w:val="List 4"/>
    <w:basedOn w:val="BodyText"/>
    <w:rsid w:val="00030812"/>
    <w:pPr>
      <w:tabs>
        <w:tab w:val="left" w:pos="1361"/>
      </w:tabs>
      <w:spacing w:before="60" w:after="60"/>
      <w:ind w:left="1361" w:hanging="340"/>
    </w:pPr>
  </w:style>
  <w:style w:type="paragraph" w:styleId="List5">
    <w:name w:val="List 5"/>
    <w:basedOn w:val="BodyText"/>
    <w:rsid w:val="00030812"/>
    <w:pPr>
      <w:tabs>
        <w:tab w:val="left" w:pos="1701"/>
      </w:tabs>
      <w:spacing w:before="60" w:after="60"/>
      <w:ind w:left="1701" w:hanging="340"/>
    </w:pPr>
  </w:style>
  <w:style w:type="paragraph" w:styleId="ListBullet3">
    <w:name w:val="List Bullet 3"/>
    <w:basedOn w:val="List3"/>
    <w:rsid w:val="00030812"/>
    <w:pPr>
      <w:numPr>
        <w:numId w:val="14"/>
      </w:numPr>
      <w:tabs>
        <w:tab w:val="clear" w:pos="1021"/>
      </w:tabs>
      <w:ind w:left="1037" w:hanging="357"/>
    </w:pPr>
  </w:style>
  <w:style w:type="paragraph" w:styleId="ListBullet4">
    <w:name w:val="List Bullet 4"/>
    <w:basedOn w:val="List4"/>
    <w:rsid w:val="00030812"/>
    <w:pPr>
      <w:numPr>
        <w:numId w:val="2"/>
      </w:numPr>
    </w:pPr>
  </w:style>
  <w:style w:type="paragraph" w:styleId="ListBullet5">
    <w:name w:val="List Bullet 5"/>
    <w:basedOn w:val="List5"/>
    <w:rsid w:val="00030812"/>
    <w:pPr>
      <w:numPr>
        <w:numId w:val="3"/>
      </w:numPr>
    </w:pPr>
  </w:style>
  <w:style w:type="paragraph" w:styleId="ListContinue2">
    <w:name w:val="List Continue 2"/>
    <w:basedOn w:val="List2"/>
    <w:rsid w:val="00030812"/>
    <w:pPr>
      <w:ind w:firstLine="0"/>
    </w:pPr>
  </w:style>
  <w:style w:type="paragraph" w:styleId="ListContinue3">
    <w:name w:val="List Continue 3"/>
    <w:basedOn w:val="List3"/>
    <w:rsid w:val="00030812"/>
    <w:pPr>
      <w:ind w:left="1021" w:firstLine="0"/>
    </w:pPr>
  </w:style>
  <w:style w:type="paragraph" w:styleId="ListContinue4">
    <w:name w:val="List Continue 4"/>
    <w:basedOn w:val="List4"/>
    <w:rsid w:val="00030812"/>
    <w:pPr>
      <w:ind w:firstLine="0"/>
    </w:pPr>
  </w:style>
  <w:style w:type="paragraph" w:styleId="ListContinue5">
    <w:name w:val="List Continue 5"/>
    <w:basedOn w:val="List5"/>
    <w:rsid w:val="00030812"/>
    <w:pPr>
      <w:ind w:firstLine="0"/>
    </w:pPr>
  </w:style>
  <w:style w:type="paragraph" w:styleId="ListNumber3">
    <w:name w:val="List Number 3"/>
    <w:basedOn w:val="List3"/>
    <w:rsid w:val="00030812"/>
    <w:pPr>
      <w:numPr>
        <w:numId w:val="4"/>
      </w:numPr>
    </w:pPr>
  </w:style>
  <w:style w:type="paragraph" w:styleId="ListNumber4">
    <w:name w:val="List Number 4"/>
    <w:basedOn w:val="List4"/>
    <w:rsid w:val="00030812"/>
    <w:pPr>
      <w:numPr>
        <w:numId w:val="5"/>
      </w:numPr>
    </w:pPr>
  </w:style>
  <w:style w:type="paragraph" w:styleId="ListNumber5">
    <w:name w:val="List Number 5"/>
    <w:basedOn w:val="List5"/>
    <w:rsid w:val="00030812"/>
    <w:pPr>
      <w:numPr>
        <w:numId w:val="6"/>
      </w:numPr>
    </w:pPr>
  </w:style>
  <w:style w:type="paragraph" w:styleId="BlockText">
    <w:name w:val="Block Text"/>
    <w:basedOn w:val="Normal"/>
    <w:rsid w:val="00030812"/>
    <w:pPr>
      <w:spacing w:after="120"/>
      <w:ind w:left="1440" w:right="1440"/>
    </w:pPr>
  </w:style>
  <w:style w:type="character" w:customStyle="1" w:styleId="Subscript">
    <w:name w:val="Subscript"/>
    <w:basedOn w:val="DefaultParagraphFont"/>
    <w:rsid w:val="00030812"/>
    <w:rPr>
      <w:sz w:val="16"/>
      <w:vertAlign w:val="subscript"/>
    </w:rPr>
  </w:style>
  <w:style w:type="character" w:customStyle="1" w:styleId="Superscript">
    <w:name w:val="Superscript"/>
    <w:basedOn w:val="DefaultParagraphFont"/>
    <w:rsid w:val="00030812"/>
    <w:rPr>
      <w:sz w:val="16"/>
      <w:vertAlign w:val="superscript"/>
    </w:rPr>
  </w:style>
  <w:style w:type="character" w:customStyle="1" w:styleId="Symbols">
    <w:name w:val="Symbols"/>
    <w:basedOn w:val="DefaultParagraphFont"/>
    <w:rsid w:val="00030812"/>
    <w:rPr>
      <w:rFonts w:ascii="Symbol" w:hAnsi="Symbol"/>
    </w:rPr>
  </w:style>
  <w:style w:type="character" w:customStyle="1" w:styleId="MenuOptions">
    <w:name w:val="Menu Options"/>
    <w:basedOn w:val="DefaultParagraphFont"/>
    <w:rsid w:val="00030812"/>
    <w:rPr>
      <w:rFonts w:ascii="Arial Narrow" w:hAnsi="Arial Narrow"/>
      <w:smallCaps/>
    </w:rPr>
  </w:style>
  <w:style w:type="character" w:customStyle="1" w:styleId="Buttons">
    <w:name w:val="Buttons"/>
    <w:basedOn w:val="DefaultParagraphFont"/>
    <w:rsid w:val="00030812"/>
    <w:rPr>
      <w:b/>
    </w:rPr>
  </w:style>
  <w:style w:type="character" w:customStyle="1" w:styleId="Underlined">
    <w:name w:val="Underlined"/>
    <w:basedOn w:val="DefaultParagraphFont"/>
    <w:rsid w:val="00030812"/>
    <w:rPr>
      <w:u w:val="single"/>
    </w:rPr>
  </w:style>
  <w:style w:type="paragraph" w:customStyle="1" w:styleId="TableBodyTextRight">
    <w:name w:val="Table Body Text Right"/>
    <w:basedOn w:val="TableBodyText"/>
    <w:rsid w:val="00030812"/>
    <w:pPr>
      <w:widowControl w:val="0"/>
      <w:autoSpaceDE w:val="0"/>
      <w:autoSpaceDN w:val="0"/>
      <w:adjustRightInd w:val="0"/>
      <w:jc w:val="right"/>
    </w:pPr>
    <w:rPr>
      <w:rFonts w:cs="Arial"/>
      <w:szCs w:val="18"/>
    </w:rPr>
  </w:style>
  <w:style w:type="paragraph" w:customStyle="1" w:styleId="CopyrightText">
    <w:name w:val="Copyright Text"/>
    <w:basedOn w:val="BodyText"/>
    <w:rsid w:val="00030812"/>
    <w:rPr>
      <w:sz w:val="18"/>
    </w:rPr>
  </w:style>
  <w:style w:type="paragraph" w:customStyle="1" w:styleId="BodySmallRight">
    <w:name w:val="Body Small Right"/>
    <w:basedOn w:val="BodyTextRight"/>
    <w:rsid w:val="00030812"/>
    <w:rPr>
      <w:sz w:val="18"/>
      <w:szCs w:val="18"/>
    </w:rPr>
  </w:style>
  <w:style w:type="paragraph" w:customStyle="1" w:styleId="MarginEdition">
    <w:name w:val="Margin Edition"/>
    <w:basedOn w:val="MarginNote"/>
    <w:rsid w:val="00030812"/>
    <w:pPr>
      <w:spacing w:before="0" w:after="0"/>
    </w:pPr>
    <w:rPr>
      <w:rFonts w:ascii="Times New Roman" w:hAnsi="Times New Roman"/>
      <w:color w:val="999999"/>
    </w:rPr>
  </w:style>
  <w:style w:type="paragraph" w:customStyle="1" w:styleId="Spacer">
    <w:name w:val="Spacer"/>
    <w:basedOn w:val="Normal"/>
    <w:rsid w:val="00030812"/>
    <w:rPr>
      <w:sz w:val="2"/>
      <w:szCs w:val="2"/>
    </w:rPr>
  </w:style>
  <w:style w:type="character" w:customStyle="1" w:styleId="Small">
    <w:name w:val="Small"/>
    <w:basedOn w:val="DefaultParagraphFont"/>
    <w:rsid w:val="00030812"/>
    <w:rPr>
      <w:sz w:val="16"/>
    </w:rPr>
  </w:style>
  <w:style w:type="paragraph" w:customStyle="1" w:styleId="WideTable">
    <w:name w:val="Wide Table"/>
    <w:basedOn w:val="Normal"/>
    <w:rsid w:val="00030812"/>
    <w:pPr>
      <w:ind w:left="-1418"/>
    </w:pPr>
    <w:rPr>
      <w:sz w:val="2"/>
      <w:szCs w:val="2"/>
    </w:rPr>
  </w:style>
  <w:style w:type="character" w:styleId="PageNumber">
    <w:name w:val="page number"/>
    <w:basedOn w:val="DefaultParagraphFont"/>
    <w:rsid w:val="00030812"/>
  </w:style>
  <w:style w:type="paragraph" w:styleId="Quote">
    <w:name w:val="Quote"/>
    <w:basedOn w:val="Heading1"/>
    <w:link w:val="QuoteChar"/>
    <w:qFormat/>
    <w:rsid w:val="00030812"/>
    <w:rPr>
      <w:b w:val="0"/>
      <w:sz w:val="72"/>
      <w:szCs w:val="72"/>
      <w:lang w:val="en-NZ"/>
    </w:rPr>
  </w:style>
  <w:style w:type="character" w:customStyle="1" w:styleId="QuoteChar">
    <w:name w:val="Quote Char"/>
    <w:basedOn w:val="DefaultParagraphFont"/>
    <w:link w:val="Quote"/>
    <w:rsid w:val="000308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812"/>
    <w:pPr>
      <w:pageBreakBefore/>
    </w:pPr>
  </w:style>
  <w:style w:type="paragraph" w:customStyle="1" w:styleId="Border">
    <w:name w:val="Border"/>
    <w:basedOn w:val="Normal"/>
    <w:qFormat/>
    <w:rsid w:val="000308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812"/>
    <w:rPr>
      <w:b/>
      <w:bCs/>
      <w:i/>
      <w:iCs/>
      <w:color w:val="auto"/>
    </w:rPr>
  </w:style>
  <w:style w:type="paragraph" w:styleId="IntenseQuote">
    <w:name w:val="Intense Quote"/>
    <w:basedOn w:val="Normal"/>
    <w:next w:val="Normal"/>
    <w:link w:val="IntenseQuoteChar"/>
    <w:uiPriority w:val="30"/>
    <w:qFormat/>
    <w:rsid w:val="000308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8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0812"/>
    <w:rPr>
      <w:smallCaps/>
      <w:color w:val="auto"/>
      <w:u w:val="single"/>
    </w:rPr>
  </w:style>
  <w:style w:type="character" w:styleId="IntenseReference">
    <w:name w:val="Intense Reference"/>
    <w:basedOn w:val="DefaultParagraphFont"/>
    <w:uiPriority w:val="32"/>
    <w:qFormat/>
    <w:rsid w:val="00030812"/>
    <w:rPr>
      <w:b/>
      <w:bCs/>
      <w:smallCaps/>
      <w:color w:val="auto"/>
      <w:spacing w:val="5"/>
      <w:u w:val="single"/>
    </w:rPr>
  </w:style>
  <w:style w:type="paragraph" w:customStyle="1" w:styleId="2ColumnHeading">
    <w:name w:val="2Column Heading"/>
    <w:basedOn w:val="BodyText"/>
    <w:qFormat/>
    <w:rsid w:val="00030812"/>
    <w:pPr>
      <w:spacing w:after="60"/>
      <w:ind w:left="-2268"/>
    </w:pPr>
    <w:rPr>
      <w:b/>
    </w:rPr>
  </w:style>
  <w:style w:type="paragraph" w:customStyle="1" w:styleId="Heading1TOC">
    <w:name w:val="Heading1 TOC"/>
    <w:basedOn w:val="Normal"/>
    <w:qFormat/>
    <w:rsid w:val="00030812"/>
    <w:pPr>
      <w:spacing w:before="240" w:after="120"/>
    </w:pPr>
    <w:rPr>
      <w:rFonts w:ascii="Times New Roman" w:hAnsi="Times New Roman"/>
      <w:b/>
      <w:sz w:val="32"/>
    </w:rPr>
  </w:style>
  <w:style w:type="paragraph" w:customStyle="1" w:styleId="Heading2TOC">
    <w:name w:val="Heading2 TOC"/>
    <w:basedOn w:val="Normal"/>
    <w:qFormat/>
    <w:rsid w:val="00030812"/>
    <w:pPr>
      <w:spacing w:before="240" w:after="60"/>
    </w:pPr>
    <w:rPr>
      <w:rFonts w:ascii="Times New Roman" w:hAnsi="Times New Roman"/>
      <w:b/>
      <w:sz w:val="28"/>
    </w:rPr>
  </w:style>
  <w:style w:type="character" w:customStyle="1" w:styleId="Underline">
    <w:name w:val="Underline"/>
    <w:basedOn w:val="DefaultParagraphFont"/>
    <w:qFormat/>
    <w:rsid w:val="00030812"/>
    <w:rPr>
      <w:u w:val="single"/>
    </w:rPr>
  </w:style>
  <w:style w:type="paragraph" w:styleId="BalloonText">
    <w:name w:val="Balloon Text"/>
    <w:basedOn w:val="Normal"/>
    <w:link w:val="BalloonTextChar"/>
    <w:rsid w:val="00030812"/>
    <w:rPr>
      <w:rFonts w:ascii="Tahoma" w:hAnsi="Tahoma" w:cs="Tahoma"/>
      <w:sz w:val="16"/>
      <w:szCs w:val="16"/>
    </w:rPr>
  </w:style>
  <w:style w:type="character" w:customStyle="1" w:styleId="BalloonTextChar">
    <w:name w:val="Balloon Text Char"/>
    <w:basedOn w:val="DefaultParagraphFont"/>
    <w:link w:val="BalloonText"/>
    <w:rsid w:val="000308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08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08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0812"/>
    <w:rPr>
      <w:b/>
      <w:color w:val="660033"/>
      <w:spacing w:val="0"/>
    </w:rPr>
  </w:style>
  <w:style w:type="paragraph" w:customStyle="1" w:styleId="Nameditemlist">
    <w:name w:val="Named item list"/>
    <w:basedOn w:val="BodyText"/>
    <w:qFormat/>
    <w:rsid w:val="000308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1469</Words>
  <Characters>9934</Characters>
  <Application>Microsoft Office Word</Application>
  <DocSecurity>0</DocSecurity>
  <Lines>346</Lines>
  <Paragraphs>204</Paragraphs>
  <ScaleCrop>false</ScaleCrop>
  <Company>Author-it Software Corporation Ltd.</Company>
  <LinksUpToDate>false</LinksUpToDate>
  <CharactersWithSpaces>11321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PUAFIR320 Render hazardous materials incidents safe</dc:title>
  <dc:subject>Approved</dc:subject>
  <dc:creator>Government Skills Australia</dc:creator>
  <cp:keywords>Release 2</cp:keywords>
  <dc:description>Review Date: 12 April 2008</dc:description>
  <cp:lastModifiedBy>TPCMS</cp:lastModifiedBy>
  <cp:revision>3</cp:revision>
  <dcterms:created xsi:type="dcterms:W3CDTF">2013-05-01T07:14:00Z</dcterms:created>
  <dcterms:modified xsi:type="dcterms:W3CDTF">2013-05-01T07:14:00Z</dcterms:modified>
</cp:coreProperties>
</file>