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2F3" w:rsidP="002602F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PUAEMR023 Assess emergency risk</w:t>
      </w:r>
      <w:r>
        <w:fldChar w:fldCharType="end"/>
      </w:r>
    </w:p>
    <w:p w:rsidR="002602F3" w:rsidP="002602F3">
      <w:pPr>
        <w:pStyle w:val="Version"/>
        <w:sectPr w:rsidSect="005449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499B" w:rsidP="0054499B">
      <w:pPr>
        <w:pStyle w:val="SuperHeading"/>
      </w:pPr>
      <w:r w:rsidRPr="0054499B">
        <w:t>PUAEMR023 Assess emergency risk</w:t>
      </w:r>
    </w:p>
    <w:p w:rsidR="00000000" w:rsidRPr="0054499B" w:rsidP="0054499B">
      <w:pPr>
        <w:pStyle w:val="Heading1"/>
      </w:pPr>
      <w:bookmarkStart w:id="1" w:name="O_460242"/>
      <w:bookmarkEnd w:id="1"/>
      <w:r w:rsidRPr="005449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260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TableBodyText"/>
            </w:pPr>
            <w:r w:rsidRPr="0054499B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TableBodyText"/>
            </w:pPr>
            <w:r w:rsidRPr="0054499B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TableBodyText"/>
              <w:rPr>
                <w:lang w:val="en-NZ"/>
              </w:rPr>
            </w:pPr>
            <w:r w:rsidRPr="0054499B">
              <w:rPr>
                <w:rStyle w:val="SpecialBold"/>
              </w:rPr>
              <w:t>Comments</w:t>
            </w:r>
          </w:p>
        </w:tc>
      </w:tr>
      <w:tr w:rsidTr="00260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TableBodyText"/>
              <w:rPr>
                <w:lang w:val="en-NZ"/>
              </w:rPr>
            </w:pPr>
            <w:r w:rsidRPr="0054499B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TableBodyText"/>
              <w:rPr>
                <w:lang w:val="en-NZ"/>
              </w:rPr>
            </w:pPr>
            <w:r w:rsidRPr="0054499B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TableBodyText"/>
            </w:pPr>
            <w:r w:rsidRPr="0054499B">
              <w:t>First release.</w:t>
            </w:r>
          </w:p>
        </w:tc>
      </w:tr>
    </w:tbl>
    <w:p w:rsidR="00000000" w:rsidRPr="0054499B" w:rsidP="0054499B">
      <w:pPr>
        <w:pStyle w:val="TableBodyText"/>
      </w:pPr>
    </w:p>
    <w:p w:rsidR="00000000" w:rsidRPr="0054499B" w:rsidP="0054499B">
      <w:pPr>
        <w:pStyle w:val="AllowPageBreak"/>
      </w:pPr>
    </w:p>
    <w:p w:rsidR="00000000" w:rsidRPr="0054499B" w:rsidP="0054499B">
      <w:pPr>
        <w:pStyle w:val="Heading1"/>
      </w:pPr>
      <w:bookmarkStart w:id="2" w:name="O_460243"/>
      <w:bookmarkEnd w:id="2"/>
      <w:r w:rsidRPr="0054499B">
        <w:t>Unit Descriptor</w:t>
      </w:r>
    </w:p>
    <w:p w:rsidR="00000000" w:rsidRPr="0054499B" w:rsidP="0054499B">
      <w:pPr>
        <w:pStyle w:val="BodyText"/>
      </w:pPr>
      <w:r w:rsidRPr="0054499B">
        <w:t>This unit describes the outcomes required to identify, analyse and evaluate risk to determine which risks need treatment and the treatment priorities.</w:t>
      </w:r>
    </w:p>
    <w:p w:rsidR="00000000" w:rsidRPr="0054499B" w:rsidP="0054499B">
      <w:pPr>
        <w:pStyle w:val="BodyText"/>
      </w:pPr>
      <w:r w:rsidRPr="0054499B">
        <w:t>No licencing, legislative, regulatory or certification requirements apply to this unit at the time of pub</w:t>
      </w:r>
      <w:r w:rsidRPr="0054499B">
        <w:t>lication.</w:t>
      </w:r>
    </w:p>
    <w:p w:rsidR="00000000" w:rsidRPr="0054499B" w:rsidP="0054499B">
      <w:pPr>
        <w:pStyle w:val="AllowPageBreak"/>
      </w:pPr>
    </w:p>
    <w:p w:rsidR="00000000" w:rsidRPr="0054499B" w:rsidP="0054499B">
      <w:pPr>
        <w:pStyle w:val="Heading1"/>
      </w:pPr>
      <w:bookmarkStart w:id="3" w:name="O_460244"/>
      <w:bookmarkEnd w:id="3"/>
      <w:r w:rsidRPr="0054499B">
        <w:t>Application of the Unit</w:t>
      </w:r>
    </w:p>
    <w:p w:rsidR="00000000" w:rsidRPr="0054499B" w:rsidP="0054499B">
      <w:pPr>
        <w:pStyle w:val="BodyText"/>
      </w:pPr>
      <w:r w:rsidRPr="0054499B">
        <w:t>This unit applies to workers undertaking an emergency risk assessment with a community or part of a community.  Such assessments are conducted at local, regional or state level by local governments, emerge</w:t>
      </w:r>
      <w:r w:rsidRPr="0054499B">
        <w:t>ncy management committees, public safety agencies, major event managers or other organisations that need to understand emergency risk to a community.</w:t>
      </w:r>
    </w:p>
    <w:p w:rsidR="00000000" w:rsidRPr="0054499B" w:rsidP="0054499B">
      <w:pPr>
        <w:pStyle w:val="AllowPageBreak"/>
      </w:pPr>
    </w:p>
    <w:p w:rsidR="00000000" w:rsidRPr="0054499B" w:rsidP="0054499B">
      <w:pPr>
        <w:pStyle w:val="Heading1"/>
      </w:pPr>
      <w:bookmarkStart w:id="4" w:name="O_460245"/>
      <w:bookmarkEnd w:id="4"/>
      <w:r w:rsidRPr="0054499B">
        <w:t>Licensing/Regulatory Information</w:t>
      </w:r>
    </w:p>
    <w:p w:rsidR="00000000" w:rsidRPr="0054499B" w:rsidP="0054499B">
      <w:pPr>
        <w:pStyle w:val="BodyText"/>
      </w:pPr>
      <w:r w:rsidRPr="0054499B">
        <w:t>Not applicable.</w:t>
      </w:r>
    </w:p>
    <w:p w:rsidR="00000000" w:rsidRPr="0054499B" w:rsidP="0054499B">
      <w:pPr>
        <w:pStyle w:val="AllowPageBreak"/>
      </w:pPr>
    </w:p>
    <w:p w:rsidR="00000000" w:rsidRPr="0054499B" w:rsidP="0054499B">
      <w:pPr>
        <w:pStyle w:val="Heading1"/>
      </w:pPr>
      <w:bookmarkStart w:id="5" w:name="O_460246"/>
      <w:bookmarkEnd w:id="5"/>
      <w:r w:rsidRPr="0054499B">
        <w:t>Pre-Requisites</w:t>
      </w:r>
    </w:p>
    <w:p w:rsidR="00000000" w:rsidRPr="0054499B" w:rsidP="0054499B">
      <w:pPr>
        <w:pStyle w:val="BodyText"/>
      </w:pPr>
      <w:r w:rsidRPr="0054499B">
        <w:t>PUAEMR02</w:t>
      </w:r>
      <w:r w:rsidRPr="0054499B">
        <w:t>2 Establish context for emergency risk assessment</w:t>
      </w:r>
    </w:p>
    <w:p w:rsidR="00000000" w:rsidRPr="0054499B" w:rsidP="0054499B">
      <w:pPr>
        <w:pStyle w:val="AllowPageBreak"/>
      </w:pPr>
    </w:p>
    <w:p w:rsidR="00000000" w:rsidRPr="0054499B" w:rsidP="0054499B">
      <w:pPr>
        <w:pStyle w:val="Heading1"/>
      </w:pPr>
      <w:bookmarkStart w:id="6" w:name="O_460247"/>
      <w:bookmarkEnd w:id="6"/>
      <w:r w:rsidRPr="0054499B">
        <w:t>Employability Skills Information</w:t>
      </w:r>
    </w:p>
    <w:p w:rsidR="00000000" w:rsidRPr="0054499B" w:rsidP="0054499B">
      <w:pPr>
        <w:pStyle w:val="BodyText"/>
      </w:pPr>
      <w:r w:rsidRPr="0054499B">
        <w:t>This unit contains employability skills.</w:t>
      </w:r>
    </w:p>
    <w:p w:rsidR="00000000" w:rsidRPr="0054499B" w:rsidP="0054499B">
      <w:pPr>
        <w:pStyle w:val="AllowPageBreak"/>
      </w:pPr>
    </w:p>
    <w:p w:rsidR="00000000" w:rsidRPr="0054499B" w:rsidP="0054499B">
      <w:pPr>
        <w:pStyle w:val="Heading1"/>
      </w:pPr>
      <w:bookmarkStart w:id="7" w:name="O_460248"/>
      <w:bookmarkEnd w:id="7"/>
      <w:r w:rsidRPr="0054499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BodyText"/>
              <w:rPr>
                <w:lang w:val="en-NZ"/>
              </w:rPr>
            </w:pPr>
            <w:r w:rsidRPr="0054499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BodyText"/>
            </w:pPr>
            <w:r w:rsidRPr="0054499B">
              <w:t xml:space="preserve">Performance Criteria describe the required performance needed to demonstrate achievement of the element. Where </w:t>
            </w:r>
            <w:r w:rsidRPr="0054499B">
              <w:rPr>
                <w:rStyle w:val="BoldandItalics"/>
              </w:rPr>
              <w:t>bold italicised</w:t>
            </w:r>
            <w:r w:rsidRPr="0054499B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2602F3" w:rsidP="0054499B">
      <w:pPr>
        <w:pStyle w:val="BodyText"/>
      </w:pPr>
    </w:p>
    <w:p w:rsidR="002602F3" w:rsidP="0054499B">
      <w:pPr>
        <w:pStyle w:val="BodyText"/>
      </w:pPr>
    </w:p>
    <w:p w:rsidR="00000000" w:rsidRPr="0054499B" w:rsidP="0054499B">
      <w:pPr>
        <w:pStyle w:val="Heading1"/>
      </w:pPr>
      <w:bookmarkStart w:id="8" w:name="O_460249"/>
      <w:bookmarkEnd w:id="8"/>
      <w:r w:rsidRPr="005449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BodyText"/>
            </w:pPr>
            <w:r w:rsidRPr="0054499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BodyText"/>
              <w:rPr>
                <w:lang w:val="en-NZ"/>
              </w:rPr>
            </w:pPr>
            <w:r w:rsidRPr="0054499B">
              <w:rPr>
                <w:rStyle w:val="SpecialBold"/>
              </w:rPr>
              <w:t>PERFORMANCE CRITERIA</w:t>
            </w:r>
          </w:p>
        </w:tc>
      </w:tr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List"/>
              <w:rPr>
                <w:lang w:val="en-NZ"/>
              </w:rPr>
            </w:pPr>
            <w:r w:rsidRPr="0054499B">
              <w:rPr>
                <w:rStyle w:val="SpecialBold"/>
              </w:rPr>
              <w:t>1.</w:t>
            </w:r>
            <w:r w:rsidRPr="0054499B">
              <w:rPr>
                <w:rStyle w:val="SpecialBold"/>
              </w:rPr>
              <w:tab/>
              <w:t>Identify risk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List"/>
            </w:pPr>
            <w:r w:rsidRPr="0054499B">
              <w:t>1.1</w:t>
            </w:r>
            <w:r w:rsidRPr="0054499B">
              <w:tab/>
            </w:r>
            <w:r w:rsidRPr="0054499B">
              <w:rPr>
                <w:rStyle w:val="BoldandItalics"/>
              </w:rPr>
              <w:t>Sources o</w:t>
            </w:r>
            <w:r w:rsidRPr="0054499B">
              <w:rPr>
                <w:rStyle w:val="BoldandItalics"/>
              </w:rPr>
              <w:t xml:space="preserve">f risk </w:t>
            </w:r>
            <w:r w:rsidRPr="0054499B">
              <w:t xml:space="preserve">are identified by considering the interaction of hazards, communities and </w:t>
            </w:r>
            <w:r w:rsidRPr="0054499B">
              <w:rPr>
                <w:rStyle w:val="BoldandItalics"/>
              </w:rPr>
              <w:t>the environment</w:t>
            </w:r>
            <w:r w:rsidRPr="0054499B">
              <w:t>.</w:t>
            </w:r>
          </w:p>
          <w:p w:rsidR="00000000" w:rsidRPr="0054499B" w:rsidP="0054499B">
            <w:pPr>
              <w:pStyle w:val="List"/>
            </w:pPr>
            <w:r w:rsidRPr="0054499B">
              <w:t>1.2</w:t>
            </w:r>
            <w:r w:rsidRPr="0054499B">
              <w:tab/>
            </w:r>
            <w:r w:rsidRPr="0054499B">
              <w:rPr>
                <w:rStyle w:val="BoldandItalics"/>
              </w:rPr>
              <w:t>Elements at risk</w:t>
            </w:r>
            <w:r w:rsidRPr="0054499B">
              <w:t xml:space="preserve"> are identified.</w:t>
            </w:r>
          </w:p>
          <w:p w:rsidR="00000000" w:rsidRPr="0054499B" w:rsidP="0054499B">
            <w:pPr>
              <w:pStyle w:val="List"/>
            </w:pPr>
            <w:r w:rsidRPr="0054499B">
              <w:t>1.3</w:t>
            </w:r>
            <w:r w:rsidRPr="0054499B">
              <w:tab/>
            </w:r>
            <w:r w:rsidRPr="0054499B">
              <w:rPr>
                <w:rStyle w:val="BoldandItalics"/>
              </w:rPr>
              <w:t>Stakeholders</w:t>
            </w:r>
            <w:r w:rsidRPr="0054499B">
              <w:t xml:space="preserve"> are consulted throughout the risk assessment process.</w:t>
            </w:r>
          </w:p>
          <w:p w:rsidR="00000000" w:rsidP="0054499B">
            <w:pPr>
              <w:pStyle w:val="List"/>
              <w:rPr>
                <w:lang w:val="en-NZ"/>
              </w:rPr>
            </w:pPr>
            <w:r w:rsidRPr="0054499B">
              <w:t>1.4</w:t>
            </w:r>
            <w:r w:rsidRPr="0054499B">
              <w:tab/>
              <w:t>Risk statements describing consequences are ge</w:t>
            </w:r>
            <w:r w:rsidRPr="0054499B">
              <w:t>nerated.</w:t>
            </w:r>
          </w:p>
        </w:tc>
      </w:tr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List"/>
              <w:rPr>
                <w:lang w:val="en-NZ"/>
              </w:rPr>
            </w:pPr>
            <w:r w:rsidRPr="0054499B">
              <w:rPr>
                <w:rStyle w:val="SpecialBold"/>
              </w:rPr>
              <w:t>2.</w:t>
            </w:r>
            <w:r w:rsidRPr="0054499B">
              <w:rPr>
                <w:rStyle w:val="SpecialBold"/>
              </w:rPr>
              <w:tab/>
              <w:t>Analyse risk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List"/>
            </w:pPr>
            <w:r w:rsidRPr="0054499B">
              <w:t>2.1</w:t>
            </w:r>
            <w:r w:rsidRPr="0054499B">
              <w:tab/>
              <w:t>Risks are analysed by considering the likelihood of particular consequences occurring.</w:t>
            </w:r>
          </w:p>
          <w:p w:rsidR="00000000" w:rsidRPr="0054499B" w:rsidP="0054499B">
            <w:pPr>
              <w:pStyle w:val="List"/>
            </w:pPr>
            <w:r w:rsidRPr="0054499B">
              <w:t>2.2</w:t>
            </w:r>
            <w:r w:rsidRPr="0054499B">
              <w:tab/>
              <w:t>The vulnerability of communities and/or environments is determined by analysing their susceptibility and resilience to risks.</w:t>
            </w:r>
          </w:p>
          <w:p w:rsidR="00000000" w:rsidP="0054499B">
            <w:pPr>
              <w:pStyle w:val="List"/>
              <w:rPr>
                <w:lang w:val="en-NZ"/>
              </w:rPr>
            </w:pPr>
            <w:r w:rsidRPr="0054499B">
              <w:t>2.3</w:t>
            </w:r>
            <w:r w:rsidRPr="0054499B">
              <w:tab/>
              <w:t>Risks</w:t>
            </w:r>
            <w:r w:rsidRPr="0054499B">
              <w:t xml:space="preserve"> are rated in accordance with agreed </w:t>
            </w:r>
            <w:r w:rsidRPr="0054499B">
              <w:rPr>
                <w:rStyle w:val="BoldandItalics"/>
              </w:rPr>
              <w:t>risk criteria.</w:t>
            </w:r>
          </w:p>
        </w:tc>
      </w:tr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List"/>
              <w:rPr>
                <w:lang w:val="en-NZ"/>
              </w:rPr>
            </w:pPr>
            <w:r w:rsidRPr="0054499B">
              <w:rPr>
                <w:rStyle w:val="SpecialBold"/>
              </w:rPr>
              <w:t>3.</w:t>
            </w:r>
            <w:r w:rsidRPr="0054499B">
              <w:rPr>
                <w:rStyle w:val="SpecialBold"/>
              </w:rPr>
              <w:tab/>
              <w:t>Evaluate risk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List"/>
            </w:pPr>
            <w:r w:rsidRPr="0054499B">
              <w:t>3.1</w:t>
            </w:r>
            <w:r w:rsidRPr="0054499B">
              <w:tab/>
              <w:t>Risks requiring additional analysis or treatment are determined.</w:t>
            </w:r>
          </w:p>
          <w:p w:rsidR="00000000" w:rsidRPr="0054499B" w:rsidP="0054499B">
            <w:pPr>
              <w:pStyle w:val="List"/>
            </w:pPr>
            <w:r w:rsidRPr="0054499B">
              <w:t>3.2</w:t>
            </w:r>
            <w:r w:rsidRPr="0054499B">
              <w:tab/>
              <w:t>Tolerability and acceptability of risks are agreed with stakeholders.</w:t>
            </w:r>
          </w:p>
          <w:p w:rsidR="00000000" w:rsidP="0054499B">
            <w:pPr>
              <w:pStyle w:val="List"/>
              <w:rPr>
                <w:lang w:val="en-NZ"/>
              </w:rPr>
            </w:pPr>
            <w:r w:rsidRPr="0054499B">
              <w:t>3.3</w:t>
            </w:r>
            <w:r w:rsidRPr="0054499B">
              <w:tab/>
            </w:r>
            <w:r w:rsidRPr="0054499B">
              <w:t>Risk treatments are prioritised using agreed risk criteria.</w:t>
            </w:r>
          </w:p>
        </w:tc>
      </w:tr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List"/>
              <w:rPr>
                <w:lang w:val="en-NZ"/>
              </w:rPr>
            </w:pPr>
            <w:r w:rsidRPr="0054499B">
              <w:rPr>
                <w:rStyle w:val="SpecialBold"/>
              </w:rPr>
              <w:t>4.</w:t>
            </w:r>
            <w:r w:rsidRPr="0054499B">
              <w:rPr>
                <w:rStyle w:val="SpecialBold"/>
              </w:rPr>
              <w:tab/>
              <w:t>Monitor and review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List"/>
            </w:pPr>
            <w:r w:rsidRPr="0054499B">
              <w:t>4.1</w:t>
            </w:r>
            <w:r w:rsidRPr="0054499B">
              <w:tab/>
              <w:t xml:space="preserve">Evaluated risks are monitored in accordance with </w:t>
            </w:r>
            <w:r w:rsidRPr="0054499B">
              <w:rPr>
                <w:rStyle w:val="BoldandItalics"/>
              </w:rPr>
              <w:t>standards and guidelines.</w:t>
            </w:r>
          </w:p>
          <w:p w:rsidR="00000000" w:rsidRPr="0054499B" w:rsidP="0054499B">
            <w:pPr>
              <w:pStyle w:val="List"/>
            </w:pPr>
            <w:r w:rsidRPr="0054499B">
              <w:t>4.2</w:t>
            </w:r>
            <w:r w:rsidRPr="0054499B">
              <w:tab/>
              <w:t>Evaluated risks are reviewed in accordance with standards and guidelines.</w:t>
            </w:r>
          </w:p>
        </w:tc>
      </w:tr>
    </w:tbl>
    <w:p w:rsidR="00000000" w:rsidRPr="0054499B" w:rsidP="0054499B">
      <w:pPr>
        <w:pStyle w:val="BodyText"/>
      </w:pPr>
    </w:p>
    <w:p w:rsidR="00000000" w:rsidRPr="0054499B" w:rsidP="0054499B">
      <w:pPr>
        <w:pStyle w:val="AllowPageBreak"/>
      </w:pPr>
    </w:p>
    <w:p w:rsidR="00000000" w:rsidRPr="0054499B" w:rsidP="0054499B">
      <w:pPr>
        <w:pStyle w:val="Heading1"/>
      </w:pPr>
      <w:bookmarkStart w:id="9" w:name="O_460250"/>
      <w:bookmarkEnd w:id="9"/>
      <w:r w:rsidRPr="0054499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BodyText"/>
              <w:rPr>
                <w:lang w:val="en-NZ"/>
              </w:rPr>
            </w:pPr>
            <w:r w:rsidRPr="0054499B">
              <w:t>This describes the essential skills and knowledge and their level, required for this unit.</w:t>
            </w:r>
          </w:p>
        </w:tc>
      </w:tr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BodyText"/>
              <w:rPr>
                <w:lang w:val="en-NZ"/>
              </w:rPr>
            </w:pPr>
            <w:r w:rsidRPr="0054499B">
              <w:rPr>
                <w:rStyle w:val="SpecialBold"/>
              </w:rPr>
              <w:t>Required Skills</w:t>
            </w:r>
          </w:p>
        </w:tc>
      </w:tr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ListBullet"/>
            </w:pPr>
            <w:r w:rsidRPr="0054499B">
              <w:t>research skills to identify sources of risk to the social, built, economic and natural environments</w:t>
            </w:r>
          </w:p>
          <w:p w:rsidR="00000000" w:rsidRPr="0054499B" w:rsidP="0054499B">
            <w:pPr>
              <w:pStyle w:val="ListBullet"/>
            </w:pPr>
            <w:r w:rsidRPr="0054499B">
              <w:t>analysis skills for qualitative and quantitative risk analysis</w:t>
            </w:r>
          </w:p>
          <w:p w:rsidR="00000000" w:rsidRPr="0054499B" w:rsidP="0054499B">
            <w:pPr>
              <w:pStyle w:val="ListBullet"/>
            </w:pPr>
            <w:r w:rsidRPr="0054499B">
              <w:t>workshop facilitation skills</w:t>
            </w:r>
          </w:p>
          <w:p w:rsidR="00000000" w:rsidRPr="0054499B" w:rsidP="0054499B">
            <w:pPr>
              <w:pStyle w:val="ListBullet"/>
            </w:pPr>
            <w:r w:rsidRPr="0054499B">
              <w:t>identification of stakeholders</w:t>
            </w:r>
          </w:p>
          <w:p w:rsidR="00000000" w:rsidRPr="0054499B" w:rsidP="0054499B">
            <w:pPr>
              <w:pStyle w:val="ListBullet"/>
            </w:pPr>
            <w:r w:rsidRPr="0054499B">
              <w:t>negotiation with stakeholders</w:t>
            </w:r>
          </w:p>
          <w:p w:rsidR="00000000" w:rsidRPr="0054499B" w:rsidP="0054499B">
            <w:pPr>
              <w:pStyle w:val="ListBullet"/>
            </w:pPr>
            <w:r w:rsidRPr="0054499B">
              <w:t>problem definition</w:t>
            </w:r>
          </w:p>
          <w:p w:rsidR="00000000" w:rsidRPr="0054499B" w:rsidP="0054499B">
            <w:pPr>
              <w:pStyle w:val="ListBullet"/>
            </w:pPr>
            <w:r w:rsidRPr="0054499B">
              <w:t>risk analysis</w:t>
            </w:r>
          </w:p>
          <w:p w:rsidR="00000000" w:rsidP="0054499B">
            <w:pPr>
              <w:pStyle w:val="ListBullet"/>
              <w:rPr>
                <w:lang w:val="en-NZ"/>
              </w:rPr>
            </w:pPr>
            <w:r w:rsidRPr="0054499B">
              <w:t>use emergency risk modelling processes to estimate risk</w:t>
            </w:r>
          </w:p>
        </w:tc>
      </w:tr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BodyText"/>
              <w:rPr>
                <w:lang w:val="en-NZ"/>
              </w:rPr>
            </w:pPr>
            <w:r w:rsidRPr="0054499B">
              <w:rPr>
                <w:rStyle w:val="SpecialBold"/>
              </w:rPr>
              <w:t>Required Know</w:t>
            </w:r>
            <w:r w:rsidRPr="0054499B">
              <w:rPr>
                <w:rStyle w:val="SpecialBold"/>
              </w:rPr>
              <w:t>ledge</w:t>
            </w:r>
          </w:p>
        </w:tc>
      </w:tr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ListBullet"/>
            </w:pPr>
            <w:r w:rsidRPr="0054499B">
              <w:t>emergency risk management concepts and principles included in the current National Emergency Risk Assessment Guidelines</w:t>
            </w:r>
          </w:p>
          <w:p w:rsidR="00000000" w:rsidRPr="0054499B" w:rsidP="0054499B">
            <w:pPr>
              <w:pStyle w:val="ListBullet"/>
            </w:pPr>
            <w:r w:rsidRPr="0054499B">
              <w:t>risk identification tools</w:t>
            </w:r>
          </w:p>
          <w:p w:rsidR="00000000" w:rsidRPr="0054499B" w:rsidP="0054499B">
            <w:pPr>
              <w:pStyle w:val="ListBullet"/>
            </w:pPr>
            <w:r w:rsidRPr="0054499B">
              <w:t>format of risk statements and risk register</w:t>
            </w:r>
          </w:p>
          <w:p w:rsidR="00000000" w:rsidRPr="0054499B" w:rsidP="0054499B">
            <w:pPr>
              <w:pStyle w:val="ListBullet"/>
            </w:pPr>
            <w:r w:rsidRPr="0054499B">
              <w:t>structure of risk criteria and the application of scenario dynamics (how a hazard creates consequences)</w:t>
            </w:r>
          </w:p>
          <w:p w:rsidR="00000000" w:rsidRPr="0054499B" w:rsidP="0054499B">
            <w:pPr>
              <w:pStyle w:val="ListBullet"/>
            </w:pPr>
            <w:r w:rsidRPr="0054499B">
              <w:t>concepts of ‘credible consequence level’, likelihood rating, confidence rating, ‘as low as reasonably practicable’ principle</w:t>
            </w:r>
          </w:p>
          <w:p w:rsidR="00000000" w:rsidRPr="0054499B" w:rsidP="0054499B">
            <w:pPr>
              <w:pStyle w:val="ListBullet"/>
            </w:pPr>
            <w:r w:rsidRPr="0054499B">
              <w:t>application of spatial anal</w:t>
            </w:r>
            <w:r w:rsidRPr="0054499B">
              <w:t>ysis techniques</w:t>
            </w:r>
          </w:p>
          <w:p w:rsidR="00000000" w:rsidRPr="0054499B" w:rsidP="0054499B">
            <w:pPr>
              <w:pStyle w:val="ListBullet"/>
            </w:pPr>
            <w:r w:rsidRPr="0054499B">
              <w:t>jurisdiction or organisational emergency risk management principles and guidelines</w:t>
            </w:r>
          </w:p>
          <w:p w:rsidR="00000000" w:rsidRPr="0054499B" w:rsidP="0054499B">
            <w:pPr>
              <w:pStyle w:val="ListBullet"/>
            </w:pPr>
            <w:r w:rsidRPr="0054499B">
              <w:t>problem solving and decision making techniques</w:t>
            </w:r>
          </w:p>
          <w:p w:rsidR="00000000" w:rsidRPr="0054499B" w:rsidP="0054499B">
            <w:pPr>
              <w:pStyle w:val="ListBullet"/>
            </w:pPr>
            <w:r w:rsidRPr="0054499B">
              <w:t>research, demographic and economic analysis techniques</w:t>
            </w:r>
          </w:p>
        </w:tc>
      </w:tr>
    </w:tbl>
    <w:p w:rsidR="00000000" w:rsidRPr="0054499B" w:rsidP="0054499B">
      <w:pPr>
        <w:pStyle w:val="BodyText"/>
      </w:pPr>
    </w:p>
    <w:p w:rsidR="00000000" w:rsidRPr="0054499B" w:rsidP="0054499B">
      <w:pPr>
        <w:pStyle w:val="AllowPageBreak"/>
      </w:pPr>
    </w:p>
    <w:p w:rsidR="00000000" w:rsidRPr="0054499B" w:rsidP="0054499B">
      <w:pPr>
        <w:pStyle w:val="Heading1"/>
      </w:pPr>
      <w:bookmarkStart w:id="10" w:name="O_460251"/>
      <w:bookmarkEnd w:id="10"/>
      <w:r w:rsidRPr="0054499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BodyText"/>
              <w:rPr>
                <w:lang w:val="en-NZ"/>
              </w:rPr>
            </w:pPr>
            <w:r w:rsidRPr="0054499B">
              <w:rPr>
                <w:rStyle w:val="SpecialBold"/>
              </w:rPr>
              <w:t xml:space="preserve">Critical aspects for </w:t>
            </w:r>
            <w:r w:rsidRPr="0054499B">
              <w:rPr>
                <w:rStyle w:val="SpecialBold"/>
              </w:rPr>
              <w:t>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BodyText"/>
            </w:pPr>
            <w:r w:rsidRPr="0054499B">
              <w:t>Learners must demonstrate that they can apply an appropriate method to identify risk, produce meaningful risk statements and apply risk criteria in consultation with stakeholders.</w:t>
            </w:r>
          </w:p>
          <w:p w:rsidR="00000000" w:rsidRPr="0054499B" w:rsidP="0054499B">
            <w:pPr>
              <w:pStyle w:val="BodyText"/>
            </w:pPr>
            <w:r w:rsidRPr="0054499B">
              <w:rPr>
                <w:rStyle w:val="SpecialBold"/>
              </w:rPr>
              <w:t>Cons</w:t>
            </w:r>
            <w:r w:rsidRPr="0054499B">
              <w:rPr>
                <w:rStyle w:val="SpecialBold"/>
              </w:rPr>
              <w:t>istency in performance</w:t>
            </w:r>
          </w:p>
          <w:p w:rsidR="00000000" w:rsidP="0054499B">
            <w:pPr>
              <w:pStyle w:val="BodyText"/>
              <w:rPr>
                <w:lang w:val="en-NZ"/>
              </w:rPr>
            </w:pPr>
            <w:r w:rsidRPr="0054499B">
              <w:t>Candidates should be expected to present evidence from at least two different contexts, one of which may be simulated.</w:t>
            </w:r>
          </w:p>
        </w:tc>
      </w:tr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BodyText"/>
            </w:pPr>
            <w:r w:rsidRPr="0054499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BodyText"/>
            </w:pPr>
            <w:r w:rsidRPr="0054499B">
              <w:rPr>
                <w:rStyle w:val="SpecialBold"/>
              </w:rPr>
              <w:t>Context of assessment</w:t>
            </w:r>
          </w:p>
          <w:p w:rsidR="00000000" w:rsidRPr="0054499B" w:rsidP="0054499B">
            <w:pPr>
              <w:pStyle w:val="BodyText"/>
            </w:pPr>
            <w:r w:rsidRPr="0054499B">
              <w:t>Evidence of competence in this unit may be collected in a simulated environment and real environment, often as part of a larger project with concurrent assessment of other emergency risk management competencies.</w:t>
            </w:r>
          </w:p>
          <w:p w:rsidR="00000000" w:rsidRPr="0054499B" w:rsidP="0054499B">
            <w:pPr>
              <w:pStyle w:val="BodyText"/>
            </w:pPr>
            <w:r w:rsidRPr="0054499B">
              <w:rPr>
                <w:rStyle w:val="SpecialBold"/>
              </w:rPr>
              <w:t>Specific resources for assessment</w:t>
            </w:r>
          </w:p>
          <w:p w:rsidR="00000000" w:rsidRPr="0054499B" w:rsidP="0054499B">
            <w:pPr>
              <w:pStyle w:val="BodyText"/>
            </w:pPr>
            <w:r w:rsidRPr="0054499B">
              <w:t>For the de</w:t>
            </w:r>
            <w:r w:rsidRPr="0054499B">
              <w:t>monstration of competence in this unit it will be necessary to participate a real life project.</w:t>
            </w:r>
          </w:p>
          <w:p w:rsidR="00000000" w:rsidP="0054499B">
            <w:pPr>
              <w:pStyle w:val="BodyText"/>
              <w:rPr>
                <w:lang w:val="en-NZ"/>
              </w:rPr>
            </w:pPr>
            <w:r w:rsidRPr="0054499B">
              <w:t>Underpinning knowledge may be assessed through written assignments, project reports, debriefings and action learning projects in real or simulated environments.</w:t>
            </w:r>
          </w:p>
        </w:tc>
      </w:tr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BodyText"/>
              <w:rPr>
                <w:lang w:val="en-NZ"/>
              </w:rPr>
            </w:pPr>
            <w:r w:rsidRPr="0054499B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BodyText"/>
            </w:pPr>
            <w:r w:rsidRPr="0054499B">
              <w:t>This unit contains many transferable skills, such as communication, consultation, research and analysis skills that can be applied in the emergency risk management context.  Assessors should use formative assessment s</w:t>
            </w:r>
            <w:r w:rsidRPr="0054499B">
              <w:t xml:space="preserve">trategies in a simulated environment to contextualise underpinning knowledge.  Summative assessment requires application of the unit in a real-life project, often in an action-learning context.  </w:t>
            </w:r>
          </w:p>
          <w:p w:rsidR="00000000" w:rsidRPr="0054499B" w:rsidP="0054499B">
            <w:pPr>
              <w:pStyle w:val="BodyText"/>
            </w:pPr>
            <w:r w:rsidRPr="0054499B">
              <w:t xml:space="preserve">This unit may be assessed with other units that address the </w:t>
            </w:r>
            <w:r w:rsidRPr="0054499B">
              <w:t>whole emergency risk management process.</w:t>
            </w:r>
          </w:p>
        </w:tc>
      </w:tr>
    </w:tbl>
    <w:p w:rsidR="00000000" w:rsidRPr="0054499B" w:rsidP="0054499B">
      <w:pPr>
        <w:pStyle w:val="BodyText"/>
      </w:pPr>
    </w:p>
    <w:p w:rsidR="00000000" w:rsidRPr="0054499B" w:rsidP="0054499B">
      <w:pPr>
        <w:pStyle w:val="AllowPageBreak"/>
      </w:pPr>
    </w:p>
    <w:p w:rsidR="00000000" w:rsidRPr="0054499B" w:rsidP="0054499B">
      <w:pPr>
        <w:pStyle w:val="Heading1"/>
      </w:pPr>
      <w:bookmarkStart w:id="11" w:name="O_460252"/>
      <w:bookmarkEnd w:id="11"/>
      <w:r w:rsidRPr="0054499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BodyText"/>
              <w:rPr>
                <w:lang w:val="en-NZ"/>
              </w:rPr>
            </w:pPr>
            <w:r w:rsidRPr="0054499B">
              <w:t xml:space="preserve">The Range Statement relates to the Unit of Competency as a whole. It allows for different work environments and situations that may affect performance. </w:t>
            </w:r>
            <w:r w:rsidRPr="0054499B">
              <w:rPr>
                <w:rStyle w:val="BoldandItalics"/>
              </w:rPr>
              <w:t>Bold italicised</w:t>
            </w:r>
            <w:r w:rsidRPr="0054499B">
              <w:t xml:space="preserve"> wording in t</w:t>
            </w:r>
            <w:r w:rsidRPr="0054499B">
              <w:t>he Performance Criteria is detailed below.</w:t>
            </w:r>
          </w:p>
        </w:tc>
      </w:tr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BodyText"/>
              <w:rPr>
                <w:lang w:val="en-NZ"/>
              </w:rPr>
            </w:pPr>
            <w:r w:rsidRPr="0054499B">
              <w:rPr>
                <w:rStyle w:val="BoldandItalics"/>
              </w:rPr>
              <w:t>Sources of risk</w:t>
            </w:r>
            <w:r w:rsidRPr="0054499B">
              <w:t xml:space="preserve"> may include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ListBullet"/>
            </w:pPr>
            <w:r w:rsidRPr="0054499B">
              <w:t>commercial and legal relationships</w:t>
            </w:r>
          </w:p>
          <w:p w:rsidR="00000000" w:rsidRPr="0054499B" w:rsidP="0054499B">
            <w:pPr>
              <w:pStyle w:val="ListBullet"/>
            </w:pPr>
            <w:r w:rsidRPr="0054499B">
              <w:t>economic systems and relationships</w:t>
            </w:r>
          </w:p>
          <w:p w:rsidR="00000000" w:rsidRPr="0054499B" w:rsidP="0054499B">
            <w:pPr>
              <w:pStyle w:val="ListBullet"/>
            </w:pPr>
            <w:r w:rsidRPr="0054499B">
              <w:t>human behaviour</w:t>
            </w:r>
          </w:p>
          <w:p w:rsidR="00000000" w:rsidRPr="0054499B" w:rsidP="0054499B">
            <w:pPr>
              <w:pStyle w:val="ListBullet"/>
            </w:pPr>
            <w:r w:rsidRPr="0054499B">
              <w:t>natural events</w:t>
            </w:r>
          </w:p>
          <w:p w:rsidR="00000000" w:rsidRPr="0054499B" w:rsidP="0054499B">
            <w:pPr>
              <w:pStyle w:val="ListBullet"/>
            </w:pPr>
            <w:r w:rsidRPr="0054499B">
              <w:t>built environment failures</w:t>
            </w:r>
          </w:p>
          <w:p w:rsidR="00000000" w:rsidRPr="0054499B" w:rsidP="0054499B">
            <w:pPr>
              <w:pStyle w:val="ListBullet"/>
            </w:pPr>
            <w:r w:rsidRPr="0054499B">
              <w:t>disease (plant, animal or human)</w:t>
            </w:r>
          </w:p>
          <w:p w:rsidR="00000000" w:rsidRPr="0054499B" w:rsidP="0054499B">
            <w:pPr>
              <w:pStyle w:val="ListBullet"/>
            </w:pPr>
            <w:r w:rsidRPr="0054499B">
              <w:t>political circumstances</w:t>
            </w:r>
          </w:p>
          <w:p w:rsidR="00000000" w:rsidP="0054499B">
            <w:pPr>
              <w:pStyle w:val="ListBullet"/>
              <w:rPr>
                <w:lang w:val="en-NZ"/>
              </w:rPr>
            </w:pPr>
            <w:r w:rsidRPr="0054499B">
              <w:t>technology/technical issues, management activities and controls</w:t>
            </w:r>
          </w:p>
        </w:tc>
      </w:tr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BodyText"/>
              <w:rPr>
                <w:lang w:val="en-NZ"/>
              </w:rPr>
            </w:pPr>
            <w:r w:rsidRPr="0054499B">
              <w:rPr>
                <w:rStyle w:val="BoldandItalics"/>
              </w:rPr>
              <w:t>The environment</w:t>
            </w:r>
            <w:r w:rsidRPr="0054499B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ListBullet"/>
            </w:pPr>
            <w:r w:rsidRPr="0054499B">
              <w:t>social environment (individuals, families and common interest groups that form whole communities)</w:t>
            </w:r>
          </w:p>
          <w:p w:rsidR="00000000" w:rsidRPr="0054499B" w:rsidP="0054499B">
            <w:pPr>
              <w:pStyle w:val="ListBullet"/>
            </w:pPr>
            <w:r w:rsidRPr="0054499B">
              <w:t>build environment (human-made assets that underpin the functioning of a community)</w:t>
            </w:r>
          </w:p>
          <w:p w:rsidR="00000000" w:rsidRPr="0054499B" w:rsidP="0054499B">
            <w:pPr>
              <w:pStyle w:val="ListBullet"/>
            </w:pPr>
            <w:r w:rsidRPr="0054499B">
              <w:t>economic environment</w:t>
            </w:r>
          </w:p>
          <w:p w:rsidR="00000000" w:rsidP="0054499B">
            <w:pPr>
              <w:pStyle w:val="ListBullet"/>
              <w:rPr>
                <w:lang w:val="en-NZ"/>
              </w:rPr>
            </w:pPr>
            <w:r w:rsidRPr="0054499B">
              <w:t>natural environment</w:t>
            </w:r>
          </w:p>
        </w:tc>
      </w:tr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BodyText"/>
              <w:rPr>
                <w:lang w:val="en-NZ"/>
              </w:rPr>
            </w:pPr>
            <w:r w:rsidRPr="0054499B">
              <w:rPr>
                <w:rStyle w:val="BoldandItalics"/>
              </w:rPr>
              <w:t>Elements at risk</w:t>
            </w:r>
            <w:r w:rsidRPr="0054499B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ListBullet"/>
            </w:pPr>
            <w:r w:rsidRPr="0054499B">
              <w:t>people</w:t>
            </w:r>
          </w:p>
          <w:p w:rsidR="00000000" w:rsidRPr="0054499B" w:rsidP="0054499B">
            <w:pPr>
              <w:pStyle w:val="ListBullet"/>
            </w:pPr>
            <w:r w:rsidRPr="0054499B">
              <w:t>buildings and civil engineering works</w:t>
            </w:r>
          </w:p>
          <w:p w:rsidR="00000000" w:rsidRPr="0054499B" w:rsidP="0054499B">
            <w:pPr>
              <w:pStyle w:val="ListBullet"/>
            </w:pPr>
            <w:r w:rsidRPr="0054499B">
              <w:t>infrastructure</w:t>
            </w:r>
          </w:p>
          <w:p w:rsidR="00000000" w:rsidRPr="0054499B" w:rsidP="0054499B">
            <w:pPr>
              <w:pStyle w:val="ListBullet"/>
            </w:pPr>
            <w:r w:rsidRPr="0054499B">
              <w:t>economic activities</w:t>
            </w:r>
          </w:p>
          <w:p w:rsidR="00000000" w:rsidRPr="0054499B" w:rsidP="0054499B">
            <w:pPr>
              <w:pStyle w:val="ListBullet"/>
            </w:pPr>
            <w:r w:rsidRPr="0054499B">
              <w:t>public services</w:t>
            </w:r>
          </w:p>
          <w:p w:rsidR="00000000" w:rsidP="0054499B">
            <w:pPr>
              <w:pStyle w:val="ListBullet"/>
              <w:rPr>
                <w:lang w:val="en-NZ"/>
              </w:rPr>
            </w:pPr>
            <w:r w:rsidRPr="0054499B">
              <w:t>natural environment</w:t>
            </w:r>
          </w:p>
        </w:tc>
      </w:tr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BodyText"/>
              <w:rPr>
                <w:lang w:val="en-NZ"/>
              </w:rPr>
            </w:pPr>
            <w:r w:rsidRPr="0054499B">
              <w:rPr>
                <w:rStyle w:val="BoldandItalics"/>
              </w:rPr>
              <w:t>Stakeholders</w:t>
            </w:r>
            <w:r w:rsidRPr="0054499B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ListBullet"/>
            </w:pPr>
            <w:r w:rsidRPr="0054499B">
              <w:t>staff</w:t>
            </w:r>
          </w:p>
          <w:p w:rsidR="00000000" w:rsidRPr="0054499B" w:rsidP="0054499B">
            <w:pPr>
              <w:pStyle w:val="ListBullet"/>
            </w:pPr>
            <w:r w:rsidRPr="0054499B">
              <w:t>client groups</w:t>
            </w:r>
          </w:p>
          <w:p w:rsidR="00000000" w:rsidRPr="0054499B" w:rsidP="0054499B">
            <w:pPr>
              <w:pStyle w:val="ListBullet"/>
            </w:pPr>
            <w:r w:rsidRPr="0054499B">
              <w:t>decision makers</w:t>
            </w:r>
          </w:p>
          <w:p w:rsidR="00000000" w:rsidRPr="0054499B" w:rsidP="0054499B">
            <w:pPr>
              <w:pStyle w:val="ListBullet"/>
            </w:pPr>
            <w:r w:rsidRPr="0054499B">
              <w:t>members of the public</w:t>
            </w:r>
          </w:p>
          <w:p w:rsidR="00000000" w:rsidRPr="0054499B" w:rsidP="0054499B">
            <w:pPr>
              <w:pStyle w:val="ListBullet"/>
            </w:pPr>
            <w:r w:rsidRPr="0054499B">
              <w:t>community groups</w:t>
            </w:r>
          </w:p>
          <w:p w:rsidR="00000000" w:rsidRPr="0054499B" w:rsidP="0054499B">
            <w:pPr>
              <w:pStyle w:val="ListBullet"/>
            </w:pPr>
            <w:r w:rsidRPr="0054499B">
              <w:t>industry groups</w:t>
            </w:r>
          </w:p>
          <w:p w:rsidR="00000000" w:rsidRPr="0054499B" w:rsidP="0054499B">
            <w:pPr>
              <w:pStyle w:val="ListBullet"/>
            </w:pPr>
            <w:r w:rsidRPr="0054499B">
              <w:t>public and private sector organisations</w:t>
            </w:r>
          </w:p>
          <w:p w:rsidR="00000000" w:rsidRPr="0054499B" w:rsidP="0054499B">
            <w:pPr>
              <w:pStyle w:val="ListBullet"/>
            </w:pPr>
            <w:r w:rsidRPr="0054499B">
              <w:t>non-government organisations</w:t>
            </w:r>
          </w:p>
          <w:p w:rsidR="00000000" w:rsidP="0054499B">
            <w:pPr>
              <w:pStyle w:val="ListBullet"/>
              <w:rPr>
                <w:lang w:val="en-NZ"/>
              </w:rPr>
            </w:pPr>
            <w:r w:rsidRPr="0054499B">
              <w:t>elected officials</w:t>
            </w:r>
          </w:p>
        </w:tc>
      </w:tr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BodyText"/>
              <w:rPr>
                <w:lang w:val="en-NZ"/>
              </w:rPr>
            </w:pPr>
            <w:r w:rsidRPr="0054499B">
              <w:rPr>
                <w:rStyle w:val="BoldandItalics"/>
              </w:rPr>
              <w:t>Risk criteria</w:t>
            </w:r>
            <w:r w:rsidRPr="0054499B">
              <w:t xml:space="preserve"> may include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ListBullet"/>
            </w:pPr>
            <w:r w:rsidRPr="0054499B">
              <w:t>the nature and types of causes and consequences that can occur and how they will be measured</w:t>
            </w:r>
          </w:p>
          <w:p w:rsidR="00000000" w:rsidRPr="0054499B" w:rsidP="0054499B">
            <w:pPr>
              <w:pStyle w:val="ListBullet"/>
            </w:pPr>
            <w:r w:rsidRPr="0054499B">
              <w:t>how likelihood will be defined</w:t>
            </w:r>
          </w:p>
          <w:p w:rsidR="00000000" w:rsidRPr="0054499B" w:rsidP="0054499B">
            <w:pPr>
              <w:pStyle w:val="ListBullet"/>
            </w:pPr>
            <w:r w:rsidRPr="0054499B">
              <w:t>the timeframe(s) of the likelihood and/or consequence(s)</w:t>
            </w:r>
          </w:p>
          <w:p w:rsidR="00000000" w:rsidRPr="0054499B" w:rsidP="0054499B">
            <w:pPr>
              <w:pStyle w:val="ListBullet"/>
            </w:pPr>
            <w:r w:rsidRPr="0054499B">
              <w:t>how the level of risk is to be determined</w:t>
            </w:r>
          </w:p>
          <w:p w:rsidR="00000000" w:rsidRPr="0054499B" w:rsidP="0054499B">
            <w:pPr>
              <w:pStyle w:val="ListBullet"/>
            </w:pPr>
            <w:r w:rsidRPr="0054499B">
              <w:t>the views of stakeholders</w:t>
            </w:r>
          </w:p>
          <w:p w:rsidR="00000000" w:rsidRPr="0054499B" w:rsidP="0054499B">
            <w:pPr>
              <w:pStyle w:val="ListBullet"/>
            </w:pPr>
            <w:r w:rsidRPr="0054499B">
              <w:t>the level at which risk becomes acceptable or tolerable</w:t>
            </w:r>
          </w:p>
          <w:p w:rsidR="00000000" w:rsidP="0054499B">
            <w:pPr>
              <w:pStyle w:val="ListBullet"/>
              <w:rPr>
                <w:lang w:val="en-NZ"/>
              </w:rPr>
            </w:pPr>
            <w:r w:rsidRPr="0054499B">
              <w:t>whether combinations of multiple risks should be taken into account and, if so, how and which combinations should be considered</w:t>
            </w:r>
          </w:p>
        </w:tc>
      </w:tr>
      <w:tr w:rsidTr="00544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9B">
            <w:pPr>
              <w:pStyle w:val="BodyText"/>
              <w:rPr>
                <w:lang w:val="en-NZ"/>
              </w:rPr>
            </w:pPr>
            <w:r w:rsidRPr="0054499B">
              <w:rPr>
                <w:rStyle w:val="BoldandItalics"/>
              </w:rPr>
              <w:t>Standards and guidelines</w:t>
            </w:r>
            <w:r w:rsidRPr="0054499B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9B" w:rsidP="0054499B">
            <w:pPr>
              <w:pStyle w:val="ListBullet"/>
            </w:pPr>
            <w:r w:rsidRPr="0054499B">
              <w:t>AS/NZS ISO 31000:2009, Risk manag</w:t>
            </w:r>
            <w:r w:rsidRPr="0054499B">
              <w:t>ement—Principles and Guidelines</w:t>
            </w:r>
          </w:p>
          <w:p w:rsidR="00000000" w:rsidRPr="0054499B" w:rsidP="0054499B">
            <w:pPr>
              <w:pStyle w:val="ListBullet"/>
            </w:pPr>
            <w:r w:rsidRPr="0054499B">
              <w:t>HB 327:2010, Communicating and consulting about risk</w:t>
            </w:r>
          </w:p>
          <w:p w:rsidR="00000000" w:rsidRPr="0054499B" w:rsidP="0054499B">
            <w:pPr>
              <w:pStyle w:val="ListBullet"/>
            </w:pPr>
            <w:r w:rsidRPr="0054499B">
              <w:t>ISO Guide 73:2009, Risk management—Vocabulary</w:t>
            </w:r>
          </w:p>
          <w:p w:rsidR="00000000" w:rsidRPr="0054499B" w:rsidP="0054499B">
            <w:pPr>
              <w:pStyle w:val="ListBullet"/>
            </w:pPr>
            <w:r w:rsidRPr="0054499B">
              <w:t>National Emergency, Management Committee (2010),</w:t>
            </w:r>
            <w:r w:rsidRPr="0054499B">
              <w:rPr>
                <w:rStyle w:val="Emphasis"/>
              </w:rPr>
              <w:t xml:space="preserve"> National Emergency Risk Assessment Guidelines</w:t>
            </w:r>
          </w:p>
          <w:p w:rsidR="00000000" w:rsidRPr="0054499B" w:rsidP="0054499B">
            <w:pPr>
              <w:pStyle w:val="ListBullet"/>
            </w:pPr>
            <w:r w:rsidRPr="0054499B">
              <w:t>jurisdictional or organisation</w:t>
            </w:r>
            <w:r w:rsidRPr="0054499B">
              <w:t>al emergency risk management policies and procedures</w:t>
            </w:r>
          </w:p>
        </w:tc>
      </w:tr>
    </w:tbl>
    <w:p w:rsidR="002602F3" w:rsidP="0054499B">
      <w:pPr>
        <w:pStyle w:val="BodyText"/>
      </w:pPr>
    </w:p>
    <w:p w:rsidR="002602F3" w:rsidP="0054499B">
      <w:pPr>
        <w:pStyle w:val="BodyText"/>
      </w:pPr>
    </w:p>
    <w:p w:rsidR="00000000" w:rsidRPr="0054499B" w:rsidP="0054499B">
      <w:pPr>
        <w:pStyle w:val="Heading1"/>
      </w:pPr>
      <w:bookmarkStart w:id="12" w:name="O_460253"/>
      <w:bookmarkEnd w:id="12"/>
      <w:r w:rsidRPr="0054499B">
        <w:t>Unit Sector(s)</w:t>
      </w:r>
    </w:p>
    <w:p w:rsidR="00000000" w:rsidRPr="0054499B" w:rsidP="0054499B">
      <w:pPr>
        <w:pStyle w:val="BodyText"/>
      </w:pPr>
      <w:r w:rsidRPr="0054499B">
        <w:t>Not applicable.</w:t>
      </w:r>
    </w:p>
    <w:p w:rsidR="00000000" w:rsidRPr="0054499B" w:rsidP="0054499B"/>
    <w:sectPr w:rsidSect="005449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9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602F3" w:rsidP="002602F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9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2F3" w:rsidP="00544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602F3" w:rsidP="00544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602F3" w:rsidP="0054499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9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99B" w:rsidRPr="002602F3" w:rsidP="002602F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9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2F3" w:rsidRPr="002D2AF8" w:rsidP="00544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PUAEMR023 Assess emergency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2602F3" w:rsidP="005449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540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DCB1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9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49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49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49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49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49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49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49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49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49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4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499B"/>
  </w:style>
  <w:style w:type="character" w:customStyle="1" w:styleId="Heading1Char">
    <w:name w:val="Heading 1 Char"/>
    <w:basedOn w:val="DefaultParagraphFont"/>
    <w:link w:val="Heading1"/>
    <w:rsid w:val="005449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499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499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449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499B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449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49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499B"/>
    <w:rPr>
      <w:b/>
      <w:spacing w:val="0"/>
    </w:rPr>
  </w:style>
  <w:style w:type="character" w:styleId="Emphasis">
    <w:name w:val="Emphasis"/>
    <w:basedOn w:val="DefaultParagraphFont"/>
    <w:qFormat/>
    <w:rsid w:val="0054499B"/>
    <w:rPr>
      <w:i/>
    </w:rPr>
  </w:style>
  <w:style w:type="paragraph" w:customStyle="1" w:styleId="SuperHeading">
    <w:name w:val="SuperHeading"/>
    <w:basedOn w:val="Normal"/>
    <w:rsid w:val="0054499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449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4499B"/>
    <w:pPr>
      <w:spacing w:before="60" w:after="60"/>
    </w:pPr>
  </w:style>
  <w:style w:type="character" w:customStyle="1" w:styleId="BoldandItalics">
    <w:name w:val="Bold and Italics"/>
    <w:qFormat/>
    <w:rsid w:val="0054499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449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49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49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4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4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4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4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49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49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49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49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49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49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449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49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49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49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49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49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49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499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49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49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49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49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49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49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49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49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49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49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49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49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499B"/>
  </w:style>
  <w:style w:type="paragraph" w:styleId="TableofFigures">
    <w:name w:val="table of figures"/>
    <w:basedOn w:val="Normal"/>
    <w:next w:val="Normal"/>
    <w:semiHidden/>
    <w:rsid w:val="005449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499B"/>
    <w:pPr>
      <w:numPr>
        <w:numId w:val="10"/>
      </w:numPr>
    </w:pPr>
  </w:style>
  <w:style w:type="character" w:customStyle="1" w:styleId="WingdingSymbols">
    <w:name w:val="Wingding Symbols"/>
    <w:rsid w:val="0054499B"/>
    <w:rPr>
      <w:rFonts w:ascii="Wingdings" w:hAnsi="Wingdings"/>
    </w:rPr>
  </w:style>
  <w:style w:type="paragraph" w:customStyle="1" w:styleId="TableHeading">
    <w:name w:val="Table Heading"/>
    <w:basedOn w:val="HeadingBase"/>
    <w:rsid w:val="005449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499B"/>
    <w:rPr>
      <w:color w:val="0033CC"/>
      <w:u w:val="none"/>
    </w:rPr>
  </w:style>
  <w:style w:type="paragraph" w:customStyle="1" w:styleId="BodyTextRight">
    <w:name w:val="Body Text Right"/>
    <w:basedOn w:val="BodyText"/>
    <w:rsid w:val="005449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49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49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49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49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49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499B"/>
    <w:rPr>
      <w:sz w:val="32"/>
    </w:rPr>
  </w:style>
  <w:style w:type="paragraph" w:customStyle="1" w:styleId="HeadingProcedure">
    <w:name w:val="Heading Procedure"/>
    <w:basedOn w:val="HeadingBase"/>
    <w:next w:val="Normal"/>
    <w:rsid w:val="005449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4499B"/>
    <w:pPr>
      <w:ind w:firstLine="0"/>
    </w:pPr>
  </w:style>
  <w:style w:type="paragraph" w:customStyle="1" w:styleId="ListNote">
    <w:name w:val="List Note"/>
    <w:basedOn w:val="List"/>
    <w:rsid w:val="005449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49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49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499B"/>
    <w:rPr>
      <w:rFonts w:ascii="Courier New" w:hAnsi="Courier New"/>
    </w:rPr>
  </w:style>
  <w:style w:type="paragraph" w:customStyle="1" w:styleId="NoteBullet">
    <w:name w:val="Note Bullet"/>
    <w:basedOn w:val="Note"/>
    <w:rsid w:val="005449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49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49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49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49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49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49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499B"/>
    <w:rPr>
      <w:b/>
      <w:smallCaps/>
    </w:rPr>
  </w:style>
  <w:style w:type="paragraph" w:customStyle="1" w:styleId="TableListNumber">
    <w:name w:val="Table List Number"/>
    <w:basedOn w:val="ListNumber"/>
    <w:rsid w:val="005449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49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499B"/>
    <w:pPr>
      <w:numPr>
        <w:numId w:val="8"/>
      </w:numPr>
    </w:pPr>
  </w:style>
  <w:style w:type="paragraph" w:customStyle="1" w:styleId="ListAlpha2">
    <w:name w:val="List Alpha 2"/>
    <w:basedOn w:val="List2"/>
    <w:rsid w:val="0054499B"/>
    <w:pPr>
      <w:numPr>
        <w:numId w:val="7"/>
      </w:numPr>
    </w:pPr>
  </w:style>
  <w:style w:type="paragraph" w:styleId="List2">
    <w:name w:val="List 2"/>
    <w:basedOn w:val="BodyText"/>
    <w:rsid w:val="005449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49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49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49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49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499B"/>
    <w:pPr>
      <w:numPr>
        <w:numId w:val="2"/>
      </w:numPr>
    </w:pPr>
  </w:style>
  <w:style w:type="paragraph" w:styleId="ListBullet5">
    <w:name w:val="List Bullet 5"/>
    <w:basedOn w:val="List5"/>
    <w:rsid w:val="0054499B"/>
    <w:pPr>
      <w:numPr>
        <w:numId w:val="3"/>
      </w:numPr>
    </w:pPr>
  </w:style>
  <w:style w:type="paragraph" w:styleId="ListContinue2">
    <w:name w:val="List Continue 2"/>
    <w:basedOn w:val="List2"/>
    <w:rsid w:val="0054499B"/>
    <w:pPr>
      <w:ind w:firstLine="0"/>
    </w:pPr>
  </w:style>
  <w:style w:type="paragraph" w:styleId="ListContinue3">
    <w:name w:val="List Continue 3"/>
    <w:basedOn w:val="List3"/>
    <w:rsid w:val="0054499B"/>
    <w:pPr>
      <w:ind w:left="1021" w:firstLine="0"/>
    </w:pPr>
  </w:style>
  <w:style w:type="paragraph" w:styleId="ListContinue4">
    <w:name w:val="List Continue 4"/>
    <w:basedOn w:val="List4"/>
    <w:rsid w:val="0054499B"/>
    <w:pPr>
      <w:ind w:firstLine="0"/>
    </w:pPr>
  </w:style>
  <w:style w:type="paragraph" w:styleId="ListContinue5">
    <w:name w:val="List Continue 5"/>
    <w:basedOn w:val="List5"/>
    <w:rsid w:val="0054499B"/>
    <w:pPr>
      <w:ind w:firstLine="0"/>
    </w:pPr>
  </w:style>
  <w:style w:type="paragraph" w:styleId="ListNumber3">
    <w:name w:val="List Number 3"/>
    <w:basedOn w:val="List3"/>
    <w:rsid w:val="0054499B"/>
    <w:pPr>
      <w:numPr>
        <w:numId w:val="4"/>
      </w:numPr>
    </w:pPr>
  </w:style>
  <w:style w:type="paragraph" w:styleId="ListNumber4">
    <w:name w:val="List Number 4"/>
    <w:basedOn w:val="List4"/>
    <w:rsid w:val="0054499B"/>
    <w:pPr>
      <w:numPr>
        <w:numId w:val="5"/>
      </w:numPr>
    </w:pPr>
  </w:style>
  <w:style w:type="paragraph" w:styleId="ListNumber5">
    <w:name w:val="List Number 5"/>
    <w:basedOn w:val="List5"/>
    <w:rsid w:val="0054499B"/>
    <w:pPr>
      <w:numPr>
        <w:numId w:val="6"/>
      </w:numPr>
    </w:pPr>
  </w:style>
  <w:style w:type="paragraph" w:styleId="BlockText">
    <w:name w:val="Block Text"/>
    <w:basedOn w:val="Normal"/>
    <w:rsid w:val="005449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49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499B"/>
    <w:rPr>
      <w:sz w:val="16"/>
      <w:vertAlign w:val="superscript"/>
    </w:rPr>
  </w:style>
  <w:style w:type="character" w:customStyle="1" w:styleId="Symbols">
    <w:name w:val="Symbols"/>
    <w:basedOn w:val="DefaultParagraphFont"/>
    <w:rsid w:val="0054499B"/>
    <w:rPr>
      <w:rFonts w:ascii="Symbol" w:hAnsi="Symbol"/>
    </w:rPr>
  </w:style>
  <w:style w:type="character" w:customStyle="1" w:styleId="MenuOptions">
    <w:name w:val="Menu Options"/>
    <w:basedOn w:val="DefaultParagraphFont"/>
    <w:rsid w:val="005449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499B"/>
    <w:rPr>
      <w:b/>
    </w:rPr>
  </w:style>
  <w:style w:type="character" w:customStyle="1" w:styleId="Underlined">
    <w:name w:val="Underlined"/>
    <w:basedOn w:val="DefaultParagraphFont"/>
    <w:rsid w:val="0054499B"/>
    <w:rPr>
      <w:u w:val="single"/>
    </w:rPr>
  </w:style>
  <w:style w:type="paragraph" w:customStyle="1" w:styleId="TableBodyTextRight">
    <w:name w:val="Table Body Text Right"/>
    <w:basedOn w:val="TableBodyText"/>
    <w:rsid w:val="005449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499B"/>
    <w:rPr>
      <w:sz w:val="18"/>
    </w:rPr>
  </w:style>
  <w:style w:type="paragraph" w:customStyle="1" w:styleId="BodySmallRight">
    <w:name w:val="Body Small Right"/>
    <w:basedOn w:val="BodyTextRight"/>
    <w:rsid w:val="0054499B"/>
    <w:rPr>
      <w:sz w:val="18"/>
      <w:szCs w:val="18"/>
    </w:rPr>
  </w:style>
  <w:style w:type="paragraph" w:customStyle="1" w:styleId="MarginEdition">
    <w:name w:val="Margin Edition"/>
    <w:basedOn w:val="MarginNote"/>
    <w:rsid w:val="005449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499B"/>
    <w:rPr>
      <w:sz w:val="2"/>
      <w:szCs w:val="2"/>
    </w:rPr>
  </w:style>
  <w:style w:type="character" w:customStyle="1" w:styleId="Small">
    <w:name w:val="Small"/>
    <w:basedOn w:val="DefaultParagraphFont"/>
    <w:rsid w:val="0054499B"/>
    <w:rPr>
      <w:sz w:val="16"/>
    </w:rPr>
  </w:style>
  <w:style w:type="paragraph" w:customStyle="1" w:styleId="WideTable">
    <w:name w:val="Wide Table"/>
    <w:basedOn w:val="Normal"/>
    <w:rsid w:val="005449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499B"/>
  </w:style>
  <w:style w:type="paragraph" w:styleId="Quote">
    <w:name w:val="Quote"/>
    <w:basedOn w:val="Heading1"/>
    <w:link w:val="QuoteChar"/>
    <w:qFormat/>
    <w:rsid w:val="005449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49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499B"/>
    <w:pPr>
      <w:pageBreakBefore/>
    </w:pPr>
  </w:style>
  <w:style w:type="paragraph" w:customStyle="1" w:styleId="Border">
    <w:name w:val="Border"/>
    <w:basedOn w:val="Normal"/>
    <w:qFormat/>
    <w:rsid w:val="005449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49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9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9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49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49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49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49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49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499B"/>
    <w:rPr>
      <w:u w:val="single"/>
    </w:rPr>
  </w:style>
  <w:style w:type="paragraph" w:styleId="BalloonText">
    <w:name w:val="Balloon Text"/>
    <w:basedOn w:val="Normal"/>
    <w:link w:val="BalloonTextChar"/>
    <w:rsid w:val="00544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49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499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49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49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499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971</Words>
  <Characters>6224</Characters>
  <Application>Microsoft Office Word</Application>
  <DocSecurity>0</DocSecurity>
  <Lines>219</Lines>
  <Paragraphs>127</Paragraphs>
  <ScaleCrop>false</ScaleCrop>
  <Company>Author-it Software Corporation Ltd.</Company>
  <LinksUpToDate>false</LinksUpToDate>
  <CharactersWithSpaces>7129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PUAEMR023 Assess emergency risk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2012-08-19T16:59:00Z</dcterms:created>
  <dcterms:modified xsi:type="dcterms:W3CDTF">2012-08-19T16:59:00Z</dcterms:modified>
</cp:coreProperties>
</file>