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CA0" w:rsidP="005B7CA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PUA50312 Diploma of Public Safety (Forensic Investigation)</w:t>
      </w:r>
      <w:r>
        <w:fldChar w:fldCharType="end"/>
      </w:r>
    </w:p>
    <w:p w:rsidR="005B7CA0" w:rsidP="005B7CA0">
      <w:pPr>
        <w:pStyle w:val="Version"/>
        <w:sectPr w:rsidSect="00C13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8F9" w:rsidP="00C138F9">
      <w:pPr>
        <w:pStyle w:val="SuperHeading"/>
      </w:pPr>
      <w:r w:rsidRPr="00C138F9">
        <w:t>PUA50312 Diploma of Public Safety (Forensic Investigation)</w:t>
      </w:r>
    </w:p>
    <w:p w:rsidR="00000000" w:rsidRPr="00C138F9" w:rsidP="00C138F9">
      <w:pPr>
        <w:pStyle w:val="Heading1"/>
      </w:pPr>
      <w:bookmarkStart w:id="1" w:name="O_462220"/>
      <w:bookmarkEnd w:id="1"/>
      <w:r w:rsidRPr="00C13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5B7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BodyText"/>
            </w:pPr>
            <w:r w:rsidRPr="00C138F9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BodyText"/>
            </w:pPr>
            <w:r w:rsidRPr="00C138F9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Comments</w:t>
            </w:r>
          </w:p>
        </w:tc>
      </w:tr>
      <w:tr w:rsidTr="005B7C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BodyText"/>
            </w:pPr>
            <w:r w:rsidRPr="00C138F9">
              <w:t>New release of existing qualif</w:t>
            </w:r>
            <w:r w:rsidRPr="00C138F9">
              <w:t>ication from PUA00 v8.1: PUA50310. Packaging rules wording revised, units updated. Equivalent.</w:t>
            </w:r>
          </w:p>
        </w:tc>
      </w:tr>
    </w:tbl>
    <w:p w:rsidR="00000000" w:rsidRPr="00C138F9" w:rsidP="00C138F9">
      <w:pPr>
        <w:pStyle w:val="TableBodyText"/>
      </w:pPr>
    </w:p>
    <w:p w:rsidR="00000000" w:rsidRPr="00C138F9" w:rsidP="00C138F9">
      <w:pPr>
        <w:pStyle w:val="AllowPageBreak"/>
      </w:pPr>
    </w:p>
    <w:p w:rsidR="00000000" w:rsidRPr="00C138F9" w:rsidP="00C138F9">
      <w:pPr>
        <w:pStyle w:val="Heading1"/>
      </w:pPr>
      <w:bookmarkStart w:id="2" w:name="O_462221"/>
      <w:bookmarkEnd w:id="2"/>
      <w:r w:rsidRPr="00C138F9">
        <w:t>Description</w:t>
      </w:r>
    </w:p>
    <w:p w:rsidR="00000000" w:rsidRPr="00C138F9" w:rsidP="00C138F9">
      <w:pPr>
        <w:pStyle w:val="BodyText"/>
      </w:pPr>
      <w:r w:rsidRPr="00C138F9">
        <w:t>Not applicable.</w:t>
      </w:r>
    </w:p>
    <w:p w:rsidR="00000000" w:rsidRPr="00C138F9" w:rsidP="00C138F9">
      <w:pPr>
        <w:pStyle w:val="AllowPageBreak"/>
      </w:pPr>
    </w:p>
    <w:p w:rsidR="00000000" w:rsidRPr="00C138F9" w:rsidP="00C138F9">
      <w:pPr>
        <w:pStyle w:val="Heading1"/>
      </w:pPr>
      <w:bookmarkStart w:id="3" w:name="O_462222"/>
      <w:bookmarkEnd w:id="3"/>
      <w:r w:rsidRPr="00C138F9">
        <w:t>Pathways Information</w:t>
      </w:r>
    </w:p>
    <w:p w:rsidR="00000000" w:rsidRPr="00C138F9" w:rsidP="00C138F9">
      <w:pPr>
        <w:pStyle w:val="BodyText"/>
      </w:pPr>
      <w:r w:rsidRPr="00C138F9">
        <w:rPr>
          <w:rStyle w:val="SpecialBold"/>
        </w:rPr>
        <w:t>Pathways into the qualification</w:t>
      </w:r>
    </w:p>
    <w:p w:rsidR="00000000" w:rsidRPr="00C138F9" w:rsidP="00C138F9">
      <w:pPr>
        <w:pStyle w:val="BodyText"/>
      </w:pPr>
      <w:r w:rsidRPr="00C138F9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C138F9" w:rsidP="00C138F9">
      <w:pPr>
        <w:pStyle w:val="BodyText"/>
      </w:pPr>
      <w:r w:rsidRPr="00C138F9">
        <w:t>Policing qualifications have been developed to set agreed minim</w:t>
      </w:r>
      <w:r w:rsidRPr="00C138F9">
        <w:t xml:space="preserve">um standards for police personnel that should be contextualised within the specifics of each Police jurisdiction/ agency/organisational policy and procedure.  </w:t>
      </w:r>
    </w:p>
    <w:p w:rsidR="00000000" w:rsidRPr="00C138F9" w:rsidP="00C138F9">
      <w:pPr>
        <w:pStyle w:val="BodyText"/>
      </w:pPr>
      <w:r w:rsidRPr="00C138F9">
        <w:t>A recruit will join a Police agency, generally become a Police Officer and subsequently move int</w:t>
      </w:r>
      <w:r w:rsidRPr="00C138F9">
        <w:t>o a specialist role (such as a supervisor, detective, dog handler, scientific officer etc.).</w:t>
      </w:r>
    </w:p>
    <w:p w:rsidR="00000000" w:rsidRPr="00C138F9" w:rsidP="00C138F9">
      <w:pPr>
        <w:pStyle w:val="BodyText"/>
      </w:pPr>
      <w:r w:rsidRPr="00C138F9">
        <w:t>Therefore, the recruit will be equipped vocationally with generic Police competencies, and often move into a supervising, managing, leading role or into a technica</w:t>
      </w:r>
      <w:r w:rsidRPr="00C138F9">
        <w:t>l specialist role.</w:t>
      </w:r>
    </w:p>
    <w:p w:rsidR="00000000" w:rsidRPr="00C138F9" w:rsidP="00C138F9">
      <w:pPr>
        <w:pStyle w:val="BodyText"/>
      </w:pPr>
      <w:r w:rsidRPr="00C138F9">
        <w:t>Civilian employees are usually employed within an agency to perform a specific role but can then move laterally or vertically. Therefore, civilians would be given the opportunity to demonstrate previous experience or present relevant qua</w:t>
      </w:r>
      <w:r w:rsidRPr="00C138F9">
        <w:t>lifications.</w:t>
      </w:r>
    </w:p>
    <w:p w:rsidR="00000000" w:rsidRPr="00C138F9" w:rsidP="00C138F9">
      <w:pPr>
        <w:pStyle w:val="BodyText"/>
      </w:pPr>
      <w:r w:rsidRPr="00C138F9">
        <w:t>Pathways for candidates considering this qualification may include:</w:t>
      </w:r>
    </w:p>
    <w:p w:rsidR="00000000" w:rsidRPr="00C138F9" w:rsidP="00C138F9">
      <w:pPr>
        <w:pStyle w:val="ListBullet"/>
      </w:pPr>
      <w:r w:rsidRPr="00C138F9">
        <w:t>achievement of the PUA50212 Diploma of Public Safety (Policing)</w:t>
      </w:r>
    </w:p>
    <w:p w:rsidR="00000000" w:rsidRPr="00C138F9" w:rsidP="00C138F9">
      <w:pPr>
        <w:pStyle w:val="ListBullet"/>
      </w:pPr>
      <w:r w:rsidRPr="00C138F9">
        <w:t>completion of police jurisdictional specific training</w:t>
      </w:r>
    </w:p>
    <w:p w:rsidR="00000000" w:rsidRPr="00C138F9" w:rsidP="00C138F9">
      <w:pPr>
        <w:pStyle w:val="ListBullet"/>
      </w:pPr>
      <w:r w:rsidRPr="00C138F9">
        <w:t>achievement of partial or full, higher and vocational qualifications relevant to forensic investigation</w:t>
      </w:r>
    </w:p>
    <w:p w:rsidR="00000000" w:rsidRPr="00C138F9" w:rsidP="00C138F9">
      <w:pPr>
        <w:pStyle w:val="ListBullet"/>
      </w:pPr>
      <w:r w:rsidRPr="00C138F9">
        <w:t>entry points that demonstrate potential to undertake vocational education and training at this qualification level, such as vocational experience within</w:t>
      </w:r>
      <w:r w:rsidRPr="00C138F9">
        <w:t xml:space="preserve"> a range of environments such as policing, forensic and other relevant environments or relevant work experience in such environments.</w:t>
      </w:r>
    </w:p>
    <w:p w:rsidR="00000000" w:rsidRPr="00C138F9" w:rsidP="00C138F9">
      <w:pPr>
        <w:pStyle w:val="BodyText"/>
      </w:pPr>
      <w:r w:rsidRPr="00C138F9">
        <w:rPr>
          <w:rStyle w:val="SpecialBold"/>
        </w:rPr>
        <w:t>Pathways from the qualification</w:t>
      </w:r>
    </w:p>
    <w:p w:rsidR="00000000" w:rsidRPr="00C138F9" w:rsidP="00C138F9">
      <w:pPr>
        <w:pStyle w:val="BodyText"/>
      </w:pPr>
      <w:r w:rsidRPr="00C138F9">
        <w:t>After achieving the PUA50312 Diploma of Public Safety (Forensic Investigation), candidates</w:t>
      </w:r>
      <w:r w:rsidRPr="00C138F9">
        <w:t xml:space="preserve"> may undertake a range of qualifications relevant to their role, either to contribute to further technical expertise in a specialist area or to move to a supervising or managing role. Pathways for candidates considering this qualification may include to:</w:t>
      </w:r>
    </w:p>
    <w:p w:rsidR="00000000" w:rsidRPr="00C138F9" w:rsidP="00C138F9">
      <w:pPr>
        <w:pStyle w:val="ListBullet"/>
      </w:pPr>
      <w:r w:rsidRPr="00C138F9">
        <w:t>commence the PUA60312 Advanced Diploma of Public Safety (Forensic Investigation)</w:t>
      </w:r>
    </w:p>
    <w:p w:rsidR="00000000" w:rsidRPr="00C138F9" w:rsidP="00C138F9">
      <w:pPr>
        <w:pStyle w:val="AllowPageBreak"/>
      </w:pPr>
    </w:p>
    <w:p w:rsidR="00000000" w:rsidRPr="00C138F9" w:rsidP="00C138F9">
      <w:pPr>
        <w:pStyle w:val="Heading1"/>
      </w:pPr>
      <w:bookmarkStart w:id="4" w:name="O_462223"/>
      <w:bookmarkEnd w:id="4"/>
      <w:r w:rsidRPr="00C138F9">
        <w:t>Licensing/Regulatory Information</w:t>
      </w:r>
    </w:p>
    <w:p w:rsidR="00000000" w:rsidRPr="00C138F9" w:rsidP="00C138F9">
      <w:pPr>
        <w:pStyle w:val="BodyText"/>
      </w:pPr>
      <w:r w:rsidRPr="00C138F9">
        <w:t>Not applicable.</w:t>
      </w:r>
    </w:p>
    <w:p w:rsidR="00000000" w:rsidRPr="00C138F9" w:rsidP="00C138F9">
      <w:pPr>
        <w:pStyle w:val="AllowPageBreak"/>
      </w:pPr>
    </w:p>
    <w:p w:rsidR="00000000" w:rsidRPr="00C138F9" w:rsidP="00C138F9">
      <w:pPr>
        <w:pStyle w:val="Heading1"/>
      </w:pPr>
      <w:bookmarkStart w:id="5" w:name="O_462224"/>
      <w:bookmarkEnd w:id="5"/>
      <w:r w:rsidRPr="00C138F9">
        <w:t>Entry Requirements</w:t>
      </w:r>
    </w:p>
    <w:p w:rsidR="00000000" w:rsidRPr="00C138F9" w:rsidP="00C138F9">
      <w:pPr>
        <w:pStyle w:val="BodyText"/>
      </w:pPr>
      <w:r w:rsidRPr="00C138F9">
        <w:t>Not applicable.</w:t>
      </w:r>
    </w:p>
    <w:p w:rsidR="00000000" w:rsidRPr="00C138F9" w:rsidP="00C138F9">
      <w:pPr>
        <w:pStyle w:val="AllowPageBreak"/>
      </w:pPr>
    </w:p>
    <w:p w:rsidR="00000000" w:rsidRPr="00C138F9" w:rsidP="00C138F9">
      <w:pPr>
        <w:pStyle w:val="Heading1"/>
      </w:pPr>
      <w:bookmarkStart w:id="6" w:name="O_462225"/>
      <w:bookmarkEnd w:id="6"/>
      <w:r w:rsidRPr="00C138F9">
        <w:t>Employability Skills Summary</w:t>
      </w:r>
    </w:p>
    <w:p w:rsidR="00000000" w:rsidRPr="00C138F9" w:rsidP="00C138F9">
      <w:pPr>
        <w:pStyle w:val="BodyText"/>
      </w:pPr>
      <w:r w:rsidRPr="00C138F9">
        <w:t>Employabili</w:t>
      </w:r>
      <w:r w:rsidRPr="00C138F9">
        <w:t xml:space="preserve">ty Skills are part of a unit of competency. </w:t>
      </w:r>
    </w:p>
    <w:p w:rsidR="00000000" w:rsidRPr="00C138F9" w:rsidP="00C138F9">
      <w:pPr>
        <w:pStyle w:val="BodyText"/>
      </w:pPr>
      <w:r w:rsidRPr="00C138F9">
        <w:t>Employability Skills statements from a selection of units of competency from the PUA50312 Diploma of Public Safety (Forensic Investigation) have been reproduced in the table below.</w:t>
      </w:r>
    </w:p>
    <w:p w:rsidR="00000000" w:rsidRPr="00C138F9" w:rsidP="00C138F9">
      <w:pPr>
        <w:pStyle w:val="BodyText"/>
      </w:pPr>
      <w:r w:rsidRPr="00C138F9">
        <w:t>This table provides an example</w:t>
      </w:r>
      <w:r w:rsidRPr="00C138F9">
        <w:t xml:space="preserve"> of Employability Skills for the qualification because Employability Skills within a qualification will vary depending on the qualification packaging options.</w:t>
      </w:r>
    </w:p>
    <w:p w:rsidR="00000000" w:rsidRPr="00C138F9" w:rsidP="00C138F9">
      <w:pPr>
        <w:pStyle w:val="BodyText"/>
      </w:pPr>
      <w:r w:rsidRPr="00C138F9">
        <w:t>Public Safety qualifications have core units (which must be achieved) and elective units (where t</w:t>
      </w:r>
      <w:r w:rsidRPr="00C138F9">
        <w:t>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BodyText"/>
            </w:pPr>
            <w:r w:rsidRPr="00C138F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Employability Skills Statement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communicate in writing (clearly and unambiguously)</w:t>
            </w:r>
          </w:p>
          <w:p w:rsidR="00000000" w:rsidRPr="00C138F9" w:rsidP="00C138F9">
            <w:pPr>
              <w:pStyle w:val="TableListBullet"/>
            </w:pPr>
            <w:r w:rsidRPr="00C138F9">
              <w:t>communicate orally (listen, establish rapport, negotiate, resolve conflict)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record physical evidence prior to examination to ensure continuity and accuracy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discuss and document lo</w:t>
            </w:r>
            <w:r w:rsidRPr="00C138F9">
              <w:t>gistics of the examination with other forensic practitioners as required</w:t>
            </w:r>
          </w:p>
          <w:p w:rsidR="00000000" w:rsidRPr="00C138F9" w:rsidP="00C138F9">
            <w:pPr>
              <w:pStyle w:val="TableListBullet"/>
            </w:pPr>
            <w:r w:rsidRPr="00C138F9">
              <w:t>effectively communicate safety issues/concerns to colleagues, supervisors and when necessary other emergency service workers and the public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work effectively with a range of practition</w:t>
            </w:r>
            <w:r w:rsidRPr="00C138F9">
              <w:t>ers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analyse, make decisions and solve problems in responding to a range of physical evidence contexts including the systematic examination of items of physical evidence</w:t>
            </w:r>
          </w:p>
          <w:p w:rsidR="00000000" w:rsidRPr="00C138F9" w:rsidP="00C138F9">
            <w:pPr>
              <w:pStyle w:val="TableListBullet"/>
            </w:pPr>
            <w:r w:rsidRPr="00C138F9">
              <w:t xml:space="preserve">implement corrective action to address non-conformance 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minimise workplace risks to self, colleagues and the public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assess need for specialist and/or external agency assistance and request where necessary</w:t>
            </w:r>
          </w:p>
          <w:p w:rsidR="00000000" w:rsidRPr="00C138F9" w:rsidP="00C138F9">
            <w:pPr>
              <w:pStyle w:val="TableListBullet"/>
            </w:pPr>
            <w:r w:rsidRPr="00C138F9">
              <w:t>identify and report non-conformance of laboratory practice in accordance with q</w:t>
            </w:r>
            <w:r w:rsidRPr="00C138F9">
              <w:t>uality system requirements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identify system improvements and deficiencies and convey to management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analyse task requirements and implement strategies to successfully examine and record forensic evidence</w:t>
            </w:r>
          </w:p>
          <w:p w:rsidR="00000000" w:rsidRPr="00C138F9" w:rsidP="00C138F9">
            <w:pPr>
              <w:pStyle w:val="TableListBullet"/>
            </w:pPr>
            <w:r w:rsidRPr="00C138F9">
              <w:t>organise work effectively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pl</w:t>
            </w:r>
            <w:r w:rsidRPr="00C138F9">
              <w:t>an, implement and where necessary adapt workplace safety responses to situational contexts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Self</w:t>
            </w:r>
            <w:r w:rsidRPr="00C138F9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confirm arrangements, role and involvement in proceedings</w:t>
            </w:r>
          </w:p>
          <w:p w:rsidR="00000000" w:rsidRPr="00C138F9" w:rsidP="00C138F9">
            <w:pPr>
              <w:pStyle w:val="TableListBullet"/>
            </w:pPr>
            <w:r w:rsidRPr="00C138F9">
              <w:t>evaluate involvement in the judicial proceedings to inform future practice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follow instructions and directions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learn about general duty of care responsibilities</w:t>
            </w:r>
          </w:p>
          <w:p w:rsidR="00000000" w:rsidRPr="00C138F9" w:rsidP="00C138F9">
            <w:pPr>
              <w:pStyle w:val="TableListBullet"/>
            </w:pPr>
            <w:r w:rsidRPr="00C138F9">
              <w:t>learn about organisational policy and procedures covering safety issues/practices</w:t>
            </w:r>
          </w:p>
          <w:p w:rsidR="00000000" w:rsidP="00C138F9">
            <w:pPr>
              <w:pStyle w:val="TableListBullet"/>
              <w:rPr>
                <w:lang w:val="en-NZ"/>
              </w:rPr>
            </w:pPr>
            <w:r w:rsidRPr="00C138F9">
              <w:t>learn about legislative and procedural requirements for the security, protecti</w:t>
            </w:r>
            <w:r w:rsidRPr="00C138F9">
              <w:t>on and preservation of evidence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ListBullet"/>
            </w:pPr>
            <w:r w:rsidRPr="00C138F9">
              <w:t>accurately use recording equipment and processes to produce evidence that is acceptable in courts</w:t>
            </w:r>
          </w:p>
          <w:p w:rsidR="00000000" w:rsidRPr="00C138F9" w:rsidP="00C138F9">
            <w:pPr>
              <w:pStyle w:val="TableListBullet"/>
            </w:pPr>
            <w:r w:rsidRPr="00C138F9">
              <w:t>take forensic photographs</w:t>
            </w:r>
          </w:p>
          <w:p w:rsidR="00000000" w:rsidRPr="00C138F9" w:rsidP="00C138F9">
            <w:pPr>
              <w:pStyle w:val="TableListBullet"/>
            </w:pPr>
            <w:r w:rsidRPr="00C138F9">
              <w:t>use discipline specific laboratory equipment, such as fingerprinting equipment, compute</w:t>
            </w:r>
            <w:r w:rsidRPr="00C138F9">
              <w:t>r software, photographic equipment</w:t>
            </w:r>
          </w:p>
        </w:tc>
      </w:tr>
    </w:tbl>
    <w:p w:rsidR="00000000" w:rsidRPr="00C138F9" w:rsidP="00C138F9">
      <w:pPr>
        <w:pStyle w:val="BodyText"/>
      </w:pPr>
    </w:p>
    <w:p w:rsidR="00000000" w:rsidRPr="00C138F9" w:rsidP="00C138F9">
      <w:pPr>
        <w:pStyle w:val="AllowPageBreak"/>
      </w:pPr>
    </w:p>
    <w:p w:rsidR="00000000" w:rsidRPr="00C138F9" w:rsidP="00C138F9">
      <w:pPr>
        <w:pStyle w:val="Heading1"/>
      </w:pPr>
      <w:bookmarkStart w:id="7" w:name="O_462226"/>
      <w:bookmarkEnd w:id="7"/>
      <w:r w:rsidRPr="00C138F9">
        <w:t>Packaging Rules</w:t>
      </w:r>
    </w:p>
    <w:p w:rsidR="00000000" w:rsidRPr="00C138F9" w:rsidP="00C138F9">
      <w:pPr>
        <w:pStyle w:val="BodyText"/>
      </w:pPr>
      <w:r w:rsidRPr="00C138F9">
        <w:t>9 units of competency are required for this qualification:</w:t>
      </w:r>
    </w:p>
    <w:p w:rsidR="00000000" w:rsidRPr="00C138F9" w:rsidP="00C138F9">
      <w:pPr>
        <w:pStyle w:val="ListBullet"/>
      </w:pPr>
      <w:r w:rsidRPr="00C138F9">
        <w:t>9 core units</w:t>
      </w:r>
    </w:p>
    <w:p w:rsidR="00000000" w:rsidRPr="00C138F9" w:rsidP="00C138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BodyText"/>
            </w:pPr>
            <w:r w:rsidRPr="00C138F9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rPr>
                <w:rStyle w:val="SpecialBold"/>
              </w:rPr>
              <w:t>Core Units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PUAPOLFC002B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Maintain a safe forensic working environment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PUAPOLFC003B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Detect, record and collect physical evidence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PUAPOLFC004B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Evaluate and document cases and facilitate analyses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PUAPOLFC005B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Prepare and submit forensic documentation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PUAPOLFC006B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Contribute to and comply with quality systems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PUAPOLFC008B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Process and int</w:t>
            </w:r>
            <w:r w:rsidRPr="00C138F9">
              <w:t>erpret comparative evidence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PUAPOLFC022A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 xml:space="preserve">Prepare and present  specialist forensic evidence or opinion  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PUAPOLFC029A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Use and maintain specialist forensic equipment</w:t>
            </w:r>
          </w:p>
        </w:tc>
      </w:tr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8F9">
            <w:pPr>
              <w:pStyle w:val="TableBodyText"/>
              <w:rPr>
                <w:lang w:val="en-NZ"/>
              </w:rPr>
            </w:pPr>
            <w:r w:rsidRPr="00C138F9">
              <w:t>PUATEA002B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TableBodyText"/>
            </w:pPr>
            <w:r w:rsidRPr="00C138F9">
              <w:t>Work autonomously</w:t>
            </w:r>
          </w:p>
        </w:tc>
      </w:tr>
    </w:tbl>
    <w:p w:rsidR="00000000" w:rsidRPr="00C138F9" w:rsidP="00C138F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C13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8F9" w:rsidP="00C138F9">
            <w:pPr>
              <w:pStyle w:val="BodyText"/>
            </w:pPr>
            <w:r w:rsidRPr="00C138F9">
              <w:rPr>
                <w:rStyle w:val="SpecialBold"/>
              </w:rPr>
              <w:t>NOTE</w:t>
            </w:r>
          </w:p>
          <w:p w:rsidR="00000000" w:rsidRPr="00C138F9" w:rsidP="00C138F9">
            <w:pPr>
              <w:pStyle w:val="BodyText"/>
            </w:pPr>
            <w:r w:rsidRPr="00C138F9">
              <w:t xml:space="preserve">Information about customising PUA12 Public Safety Training Package qualifications in the </w:t>
            </w:r>
            <w:r w:rsidRPr="00C138F9">
              <w:t>Customisation of Qualifications</w:t>
            </w:r>
            <w:r w:rsidRPr="00C138F9">
              <w:t xml:space="preserve"> section.</w:t>
            </w:r>
          </w:p>
        </w:tc>
      </w:tr>
    </w:tbl>
    <w:p w:rsidR="00000000" w:rsidRPr="00C138F9" w:rsidP="00C138F9">
      <w:pPr>
        <w:pStyle w:val="BodyText"/>
      </w:pPr>
    </w:p>
    <w:p w:rsidR="00000000" w:rsidRPr="00C138F9" w:rsidP="00C138F9"/>
    <w:sectPr w:rsidSect="00C138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7CA0" w:rsidP="005B7CA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A0" w:rsidP="00C13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7CA0" w:rsidP="00C13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B7CA0" w:rsidP="00C138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F9" w:rsidRPr="005B7CA0" w:rsidP="005B7C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A0" w:rsidRPr="002D2AF8" w:rsidP="00C13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PUA50312 Diploma of Public Safety (Forensic 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5B7CA0" w:rsidP="00C13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84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E8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8F9"/>
  </w:style>
  <w:style w:type="character" w:customStyle="1" w:styleId="Heading1Char">
    <w:name w:val="Heading 1 Char"/>
    <w:basedOn w:val="DefaultParagraphFont"/>
    <w:link w:val="Heading1"/>
    <w:rsid w:val="00C13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8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8F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13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8F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138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8F9"/>
    <w:rPr>
      <w:b/>
      <w:spacing w:val="0"/>
    </w:rPr>
  </w:style>
  <w:style w:type="paragraph" w:customStyle="1" w:styleId="SuperHeading">
    <w:name w:val="SuperHeading"/>
    <w:basedOn w:val="Normal"/>
    <w:rsid w:val="00C138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13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138F9"/>
    <w:pPr>
      <w:spacing w:before="60" w:after="60"/>
    </w:pPr>
  </w:style>
  <w:style w:type="paragraph" w:customStyle="1" w:styleId="TableListBullet">
    <w:name w:val="Table List Bullet"/>
    <w:basedOn w:val="ListBullet"/>
    <w:rsid w:val="00C138F9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C13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13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8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8F9"/>
    <w:rPr>
      <w:i/>
    </w:rPr>
  </w:style>
  <w:style w:type="paragraph" w:styleId="Caption">
    <w:name w:val="caption"/>
    <w:basedOn w:val="BodyText"/>
    <w:next w:val="Normal"/>
    <w:qFormat/>
    <w:rsid w:val="00C13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8F9"/>
  </w:style>
  <w:style w:type="paragraph" w:styleId="TableofFigures">
    <w:name w:val="table of figures"/>
    <w:basedOn w:val="Normal"/>
    <w:next w:val="Normal"/>
    <w:semiHidden/>
    <w:rsid w:val="00C13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8F9"/>
    <w:pPr>
      <w:numPr>
        <w:numId w:val="10"/>
      </w:numPr>
    </w:pPr>
  </w:style>
  <w:style w:type="character" w:customStyle="1" w:styleId="WingdingSymbols">
    <w:name w:val="Wingding Symbols"/>
    <w:rsid w:val="00C138F9"/>
    <w:rPr>
      <w:rFonts w:ascii="Wingdings" w:hAnsi="Wingdings"/>
    </w:rPr>
  </w:style>
  <w:style w:type="paragraph" w:customStyle="1" w:styleId="TableHeading">
    <w:name w:val="Table Heading"/>
    <w:basedOn w:val="HeadingBase"/>
    <w:rsid w:val="00C13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8F9"/>
    <w:rPr>
      <w:color w:val="0033CC"/>
      <w:u w:val="none"/>
    </w:rPr>
  </w:style>
  <w:style w:type="paragraph" w:customStyle="1" w:styleId="BodyTextRight">
    <w:name w:val="Body Text Right"/>
    <w:basedOn w:val="BodyText"/>
    <w:rsid w:val="00C13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8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8F9"/>
    <w:rPr>
      <w:sz w:val="32"/>
    </w:rPr>
  </w:style>
  <w:style w:type="paragraph" w:customStyle="1" w:styleId="HeadingProcedure">
    <w:name w:val="Heading Procedure"/>
    <w:basedOn w:val="HeadingBase"/>
    <w:next w:val="Normal"/>
    <w:rsid w:val="00C13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138F9"/>
    <w:pPr>
      <w:ind w:firstLine="0"/>
    </w:pPr>
  </w:style>
  <w:style w:type="paragraph" w:customStyle="1" w:styleId="ListNote">
    <w:name w:val="List Note"/>
    <w:basedOn w:val="List"/>
    <w:rsid w:val="00C13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8F9"/>
    <w:rPr>
      <w:rFonts w:ascii="Courier New" w:hAnsi="Courier New"/>
    </w:rPr>
  </w:style>
  <w:style w:type="paragraph" w:customStyle="1" w:styleId="NoteBullet">
    <w:name w:val="Note Bullet"/>
    <w:basedOn w:val="Note"/>
    <w:rsid w:val="00C13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C13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8F9"/>
    <w:rPr>
      <w:b/>
      <w:smallCaps/>
    </w:rPr>
  </w:style>
  <w:style w:type="paragraph" w:customStyle="1" w:styleId="TableListNumber">
    <w:name w:val="Table List Number"/>
    <w:basedOn w:val="ListNumber"/>
    <w:rsid w:val="00C13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8F9"/>
    <w:pPr>
      <w:numPr>
        <w:numId w:val="8"/>
      </w:numPr>
    </w:pPr>
  </w:style>
  <w:style w:type="paragraph" w:customStyle="1" w:styleId="ListAlpha2">
    <w:name w:val="List Alpha 2"/>
    <w:basedOn w:val="List2"/>
    <w:rsid w:val="00C138F9"/>
    <w:pPr>
      <w:numPr>
        <w:numId w:val="7"/>
      </w:numPr>
    </w:pPr>
  </w:style>
  <w:style w:type="paragraph" w:styleId="List2">
    <w:name w:val="List 2"/>
    <w:basedOn w:val="BodyText"/>
    <w:rsid w:val="00C13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8F9"/>
    <w:pPr>
      <w:numPr>
        <w:numId w:val="2"/>
      </w:numPr>
    </w:pPr>
  </w:style>
  <w:style w:type="paragraph" w:styleId="ListBullet5">
    <w:name w:val="List Bullet 5"/>
    <w:basedOn w:val="List5"/>
    <w:rsid w:val="00C138F9"/>
    <w:pPr>
      <w:numPr>
        <w:numId w:val="3"/>
      </w:numPr>
    </w:pPr>
  </w:style>
  <w:style w:type="paragraph" w:styleId="ListContinue2">
    <w:name w:val="List Continue 2"/>
    <w:basedOn w:val="List2"/>
    <w:rsid w:val="00C138F9"/>
    <w:pPr>
      <w:ind w:firstLine="0"/>
    </w:pPr>
  </w:style>
  <w:style w:type="paragraph" w:styleId="ListContinue3">
    <w:name w:val="List Continue 3"/>
    <w:basedOn w:val="List3"/>
    <w:rsid w:val="00C138F9"/>
    <w:pPr>
      <w:ind w:left="1021" w:firstLine="0"/>
    </w:pPr>
  </w:style>
  <w:style w:type="paragraph" w:styleId="ListContinue4">
    <w:name w:val="List Continue 4"/>
    <w:basedOn w:val="List4"/>
    <w:rsid w:val="00C138F9"/>
    <w:pPr>
      <w:ind w:firstLine="0"/>
    </w:pPr>
  </w:style>
  <w:style w:type="paragraph" w:styleId="ListContinue5">
    <w:name w:val="List Continue 5"/>
    <w:basedOn w:val="List5"/>
    <w:rsid w:val="00C138F9"/>
    <w:pPr>
      <w:ind w:firstLine="0"/>
    </w:pPr>
  </w:style>
  <w:style w:type="paragraph" w:styleId="ListNumber3">
    <w:name w:val="List Number 3"/>
    <w:basedOn w:val="List3"/>
    <w:rsid w:val="00C138F9"/>
    <w:pPr>
      <w:numPr>
        <w:numId w:val="4"/>
      </w:numPr>
    </w:pPr>
  </w:style>
  <w:style w:type="paragraph" w:styleId="ListNumber4">
    <w:name w:val="List Number 4"/>
    <w:basedOn w:val="List4"/>
    <w:rsid w:val="00C138F9"/>
    <w:pPr>
      <w:numPr>
        <w:numId w:val="5"/>
      </w:numPr>
    </w:pPr>
  </w:style>
  <w:style w:type="paragraph" w:styleId="ListNumber5">
    <w:name w:val="List Number 5"/>
    <w:basedOn w:val="List5"/>
    <w:rsid w:val="00C138F9"/>
    <w:pPr>
      <w:numPr>
        <w:numId w:val="6"/>
      </w:numPr>
    </w:pPr>
  </w:style>
  <w:style w:type="paragraph" w:styleId="BlockText">
    <w:name w:val="Block Text"/>
    <w:basedOn w:val="Normal"/>
    <w:rsid w:val="00C13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8F9"/>
    <w:rPr>
      <w:sz w:val="16"/>
      <w:vertAlign w:val="superscript"/>
    </w:rPr>
  </w:style>
  <w:style w:type="character" w:customStyle="1" w:styleId="Symbols">
    <w:name w:val="Symbols"/>
    <w:basedOn w:val="DefaultParagraphFont"/>
    <w:rsid w:val="00C138F9"/>
    <w:rPr>
      <w:rFonts w:ascii="Symbol" w:hAnsi="Symbol"/>
    </w:rPr>
  </w:style>
  <w:style w:type="character" w:customStyle="1" w:styleId="MenuOptions">
    <w:name w:val="Menu Options"/>
    <w:basedOn w:val="DefaultParagraphFont"/>
    <w:rsid w:val="00C13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8F9"/>
    <w:rPr>
      <w:b/>
    </w:rPr>
  </w:style>
  <w:style w:type="character" w:customStyle="1" w:styleId="Underlined">
    <w:name w:val="Underlined"/>
    <w:basedOn w:val="DefaultParagraphFont"/>
    <w:rsid w:val="00C138F9"/>
    <w:rPr>
      <w:u w:val="single"/>
    </w:rPr>
  </w:style>
  <w:style w:type="paragraph" w:customStyle="1" w:styleId="TableBodyTextRight">
    <w:name w:val="Table Body Text Right"/>
    <w:basedOn w:val="TableBodyText"/>
    <w:rsid w:val="00C13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8F9"/>
    <w:rPr>
      <w:sz w:val="18"/>
    </w:rPr>
  </w:style>
  <w:style w:type="paragraph" w:customStyle="1" w:styleId="BodySmallRight">
    <w:name w:val="Body Small Right"/>
    <w:basedOn w:val="BodyTextRight"/>
    <w:rsid w:val="00C138F9"/>
    <w:rPr>
      <w:sz w:val="18"/>
      <w:szCs w:val="18"/>
    </w:rPr>
  </w:style>
  <w:style w:type="paragraph" w:customStyle="1" w:styleId="MarginEdition">
    <w:name w:val="Margin Edition"/>
    <w:basedOn w:val="MarginNote"/>
    <w:rsid w:val="00C13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8F9"/>
    <w:rPr>
      <w:sz w:val="2"/>
      <w:szCs w:val="2"/>
    </w:rPr>
  </w:style>
  <w:style w:type="character" w:customStyle="1" w:styleId="Small">
    <w:name w:val="Small"/>
    <w:basedOn w:val="DefaultParagraphFont"/>
    <w:rsid w:val="00C138F9"/>
    <w:rPr>
      <w:sz w:val="16"/>
    </w:rPr>
  </w:style>
  <w:style w:type="paragraph" w:customStyle="1" w:styleId="WideTable">
    <w:name w:val="Wide Table"/>
    <w:basedOn w:val="Normal"/>
    <w:rsid w:val="00C13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8F9"/>
  </w:style>
  <w:style w:type="paragraph" w:styleId="Quote">
    <w:name w:val="Quote"/>
    <w:basedOn w:val="Heading1"/>
    <w:link w:val="QuoteChar"/>
    <w:qFormat/>
    <w:rsid w:val="00C13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8F9"/>
    <w:pPr>
      <w:pageBreakBefore/>
    </w:pPr>
  </w:style>
  <w:style w:type="paragraph" w:customStyle="1" w:styleId="Border">
    <w:name w:val="Border"/>
    <w:basedOn w:val="Normal"/>
    <w:qFormat/>
    <w:rsid w:val="00C13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8F9"/>
    <w:rPr>
      <w:u w:val="single"/>
    </w:rPr>
  </w:style>
  <w:style w:type="character" w:customStyle="1" w:styleId="BoldandItalics">
    <w:name w:val="Bold and Italics"/>
    <w:qFormat/>
    <w:rsid w:val="00C138F9"/>
    <w:rPr>
      <w:b/>
      <w:i/>
      <w:u w:val="none"/>
    </w:rPr>
  </w:style>
  <w:style w:type="paragraph" w:styleId="BalloonText">
    <w:name w:val="Balloon Text"/>
    <w:basedOn w:val="Normal"/>
    <w:link w:val="BalloonTextChar"/>
    <w:rsid w:val="00C13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8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8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806</Words>
  <Characters>5368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PUA50312 Diploma of Public Safety (Forensic 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2012-08-19T16:22:00Z</dcterms:created>
  <dcterms:modified xsi:type="dcterms:W3CDTF">2012-08-19T16:22:00Z</dcterms:modified>
</cp:coreProperties>
</file>