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EDD" w:rsidP="00E11ED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PUAPOLFC022A Prepare and present specialist forensic evidence or opinion</w:t>
      </w:r>
      <w:r>
        <w:fldChar w:fldCharType="end"/>
      </w:r>
    </w:p>
    <w:p w:rsidR="00E11EDD" w:rsidP="00E11EDD">
      <w:pPr>
        <w:pStyle w:val="Version"/>
        <w:sectPr w:rsidSect="002C5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2C5A9C" w:rsidP="002C5A9C">
      <w:pPr>
        <w:pStyle w:val="SuperHeading"/>
      </w:pPr>
      <w:r w:rsidRPr="002C5A9C">
        <w:t>PUAPOLFC022A Prepare and present specialist forensic evidence or opinion</w:t>
      </w:r>
    </w:p>
    <w:p w:rsidR="00000000" w:rsidRPr="002C5A9C" w:rsidP="002C5A9C">
      <w:pPr>
        <w:pStyle w:val="SuperHeading"/>
      </w:pPr>
    </w:p>
    <w:p w:rsidR="00000000" w:rsidRPr="002C5A9C" w:rsidP="002C5A9C">
      <w:pPr>
        <w:pStyle w:val="Heading1"/>
      </w:pPr>
      <w:bookmarkStart w:id="1" w:name="O_490236"/>
      <w:bookmarkEnd w:id="1"/>
      <w:r w:rsidRPr="002C5A9C">
        <w:t>Modification History</w:t>
      </w:r>
    </w:p>
    <w:p w:rsidR="00000000" w:rsidRPr="002C5A9C" w:rsidP="002C5A9C">
      <w:pPr>
        <w:pStyle w:val="BodyText"/>
      </w:pPr>
      <w:r w:rsidRPr="002C5A9C">
        <w:t>PUAPOLFC022A Release 3:</w:t>
      </w:r>
      <w:r w:rsidRPr="002C5A9C">
        <w:tab/>
        <w:t>Unit Descriptor revised.</w:t>
      </w:r>
    </w:p>
    <w:p w:rsidR="00000000" w:rsidRPr="002C5A9C" w:rsidP="002C5A9C">
      <w:pPr>
        <w:pStyle w:val="BodyText"/>
      </w:pPr>
      <w:r w:rsidRPr="002C5A9C">
        <w:t>PUAPOLFC022A Release 2:</w:t>
      </w:r>
      <w:r w:rsidRPr="002C5A9C">
        <w:tab/>
        <w:t>Layout adjusted. No changes to content.</w:t>
      </w:r>
    </w:p>
    <w:p w:rsidR="00000000" w:rsidRPr="002C5A9C" w:rsidP="002C5A9C">
      <w:pPr>
        <w:pStyle w:val="BodyText"/>
      </w:pPr>
      <w:r w:rsidRPr="002C5A9C">
        <w:t>PUAPO</w:t>
      </w:r>
      <w:r w:rsidRPr="002C5A9C">
        <w:t>LFC022A Release 1:</w:t>
      </w:r>
      <w:r w:rsidRPr="002C5A9C">
        <w:tab/>
        <w:t>Primary release.</w:t>
      </w: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2" w:name="O_490230"/>
      <w:bookmarkEnd w:id="2"/>
      <w:r w:rsidRPr="002C5A9C">
        <w:t>Unit Descriptor</w:t>
      </w:r>
    </w:p>
    <w:p w:rsidR="00000000" w:rsidRPr="002C5A9C" w:rsidP="002C5A9C">
      <w:pPr>
        <w:pStyle w:val="BodyText"/>
      </w:pPr>
      <w:r w:rsidRPr="002C5A9C">
        <w:t>This unit covers the competency required to prepare and present forensic evidence, statements and submissions, and to brief counsel in accordance with jurisdictional laws and organisation</w:t>
      </w:r>
      <w:r w:rsidRPr="002C5A9C">
        <w:t>al policies and procedures.</w:t>
      </w:r>
    </w:p>
    <w:p w:rsidR="00000000" w:rsidRPr="002C5A9C" w:rsidP="002C5A9C">
      <w:pPr>
        <w:pStyle w:val="BodyText"/>
      </w:pPr>
      <w:r w:rsidRPr="002C5A9C">
        <w:t>No licensing, legislative, regulatory or certification requirements apply to this unit at the time of publication.</w:t>
      </w: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3" w:name="O_490241"/>
      <w:bookmarkEnd w:id="3"/>
      <w:r w:rsidRPr="002C5A9C">
        <w:t>Application of the Unit</w:t>
      </w:r>
    </w:p>
    <w:p w:rsidR="00000000" w:rsidRPr="002C5A9C" w:rsidP="002C5A9C">
      <w:pPr>
        <w:pStyle w:val="BodyText"/>
      </w:pPr>
      <w:r w:rsidRPr="002C5A9C">
        <w:t>The application of this unit in the workplace is relevant for specialist</w:t>
      </w:r>
      <w:r w:rsidRPr="002C5A9C">
        <w:t xml:space="preserve"> staff skilled in forensic investigations managing the investigation and can be performed by fingerprint, crime scene and firearms examiners.</w:t>
      </w: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4" w:name="O_490237"/>
      <w:bookmarkEnd w:id="4"/>
      <w:r w:rsidRPr="002C5A9C">
        <w:t>Licensing/Regulatory Information</w:t>
      </w:r>
    </w:p>
    <w:p w:rsidR="00000000" w:rsidRPr="002C5A9C" w:rsidP="002C5A9C">
      <w:pPr>
        <w:pStyle w:val="BodyText"/>
      </w:pPr>
      <w:r w:rsidRPr="002C5A9C">
        <w:t>Not applicable.</w:t>
      </w: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5" w:name="O_490234"/>
      <w:bookmarkEnd w:id="5"/>
      <w:r w:rsidRPr="002C5A9C">
        <w:t>Pre-Requisites</w:t>
      </w:r>
    </w:p>
    <w:p w:rsidR="00000000" w:rsidRPr="002C5A9C" w:rsidP="002C5A9C">
      <w:pPr>
        <w:pStyle w:val="BodyText"/>
      </w:pPr>
      <w:r w:rsidRPr="002C5A9C">
        <w:t>Not applicable.</w:t>
      </w: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6" w:name="O_490238"/>
      <w:bookmarkEnd w:id="6"/>
      <w:r w:rsidRPr="002C5A9C">
        <w:t>Employability Skills Information</w:t>
      </w:r>
    </w:p>
    <w:p w:rsidR="00000000" w:rsidRPr="002C5A9C" w:rsidP="002C5A9C">
      <w:pPr>
        <w:pStyle w:val="BodyText"/>
      </w:pPr>
      <w:r w:rsidRPr="002C5A9C">
        <w:t>This unit contains employability skills.</w:t>
      </w: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7" w:name="O_490239"/>
      <w:bookmarkEnd w:id="7"/>
      <w:r w:rsidRPr="002C5A9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BodyText"/>
            </w:pPr>
            <w:r w:rsidRPr="002C5A9C">
              <w:t>Performance Criteria describe the re</w:t>
            </w:r>
            <w:r w:rsidRPr="002C5A9C">
              <w:t xml:space="preserve">quired performance needed to demonstrate achievement of the element. Where </w:t>
            </w:r>
            <w:r w:rsidRPr="002C5A9C">
              <w:rPr>
                <w:rStyle w:val="BoldandItalics"/>
              </w:rPr>
              <w:t>bold italicised</w:t>
            </w:r>
            <w:r w:rsidRPr="002C5A9C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C5A9C" w:rsidP="002C5A9C">
      <w:pPr>
        <w:pStyle w:val="BodyText"/>
      </w:pP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8" w:name="O_490240"/>
      <w:bookmarkEnd w:id="8"/>
      <w:r w:rsidRPr="002C5A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BodyText"/>
            </w:pPr>
            <w:r w:rsidRPr="002C5A9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rPr>
                <w:rStyle w:val="SpecialBold"/>
              </w:rPr>
              <w:t>PERFORMANCE CRITERIA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List"/>
              <w:rPr>
                <w:lang w:val="en-NZ"/>
              </w:rPr>
            </w:pPr>
            <w:r w:rsidRPr="002C5A9C">
              <w:rPr>
                <w:rStyle w:val="SpecialBold"/>
              </w:rPr>
              <w:t>1.</w:t>
            </w:r>
            <w:r w:rsidRPr="002C5A9C">
              <w:rPr>
                <w:rStyle w:val="SpecialBold"/>
              </w:rPr>
              <w:tab/>
              <w:t>Prepare for proceedings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List"/>
            </w:pPr>
            <w:r w:rsidRPr="002C5A9C">
              <w:t>1.1</w:t>
            </w:r>
            <w:r w:rsidRPr="002C5A9C">
              <w:tab/>
              <w:t>Arrangements, role and involvement in proceedings are confirmed</w:t>
            </w:r>
          </w:p>
          <w:p w:rsidR="00000000" w:rsidRPr="002C5A9C" w:rsidP="002C5A9C">
            <w:pPr>
              <w:pStyle w:val="List"/>
            </w:pPr>
            <w:r w:rsidRPr="002C5A9C">
              <w:t>1.2</w:t>
            </w:r>
            <w:r w:rsidRPr="002C5A9C">
              <w:tab/>
              <w:t xml:space="preserve">Case requirements are assessed and </w:t>
            </w:r>
            <w:r w:rsidRPr="002C5A9C">
              <w:rPr>
                <w:rStyle w:val="BoldandItalics"/>
              </w:rPr>
              <w:t>evidence</w:t>
            </w:r>
            <w:r w:rsidRPr="002C5A9C">
              <w:t xml:space="preserve"> is prepared in accordance w</w:t>
            </w:r>
            <w:r w:rsidRPr="002C5A9C">
              <w:t xml:space="preserve">ith organisational and judicial requirements </w:t>
            </w:r>
          </w:p>
          <w:p w:rsidR="00000000" w:rsidRPr="002C5A9C" w:rsidP="002C5A9C">
            <w:pPr>
              <w:pStyle w:val="List"/>
            </w:pPr>
            <w:r w:rsidRPr="002C5A9C">
              <w:t>1.3</w:t>
            </w:r>
            <w:r w:rsidRPr="002C5A9C">
              <w:tab/>
              <w:t>All forensic evidence in proceedings is reviewed prior to presentation in court to ensure accuracy, continuity and integrity</w:t>
            </w:r>
          </w:p>
          <w:p w:rsidR="00000000" w:rsidRPr="002C5A9C" w:rsidP="002C5A9C">
            <w:pPr>
              <w:pStyle w:val="List"/>
            </w:pPr>
            <w:r w:rsidRPr="002C5A9C">
              <w:t>1.4</w:t>
            </w:r>
            <w:r w:rsidRPr="002C5A9C">
              <w:tab/>
              <w:t xml:space="preserve">Proceedings and </w:t>
            </w:r>
            <w:r w:rsidRPr="002C5A9C">
              <w:rPr>
                <w:rStyle w:val="BoldandItalics"/>
              </w:rPr>
              <w:t>protocols</w:t>
            </w:r>
            <w:r w:rsidRPr="002C5A9C">
              <w:t xml:space="preserve"> are adhered to in preparing evidence in accordance </w:t>
            </w:r>
            <w:r w:rsidRPr="002C5A9C">
              <w:t>with organisational policies and procedures</w:t>
            </w:r>
          </w:p>
          <w:p w:rsidR="00000000" w:rsidRPr="002C5A9C" w:rsidP="002C5A9C">
            <w:pPr>
              <w:pStyle w:val="List"/>
            </w:pPr>
            <w:r w:rsidRPr="002C5A9C">
              <w:t>1.5</w:t>
            </w:r>
            <w:r w:rsidRPr="002C5A9C">
              <w:tab/>
              <w:t xml:space="preserve">Precedents relevant to procedures are identified to assist </w:t>
            </w:r>
            <w:r w:rsidRPr="002C5A9C">
              <w:rPr>
                <w:rStyle w:val="BoldandItalics"/>
              </w:rPr>
              <w:t>court proceedings</w:t>
            </w:r>
            <w:r w:rsidRPr="002C5A9C">
              <w:t xml:space="preserve"> as required</w:t>
            </w:r>
          </w:p>
          <w:p w:rsidR="00000000" w:rsidP="002C5A9C">
            <w:pPr>
              <w:pStyle w:val="List"/>
              <w:rPr>
                <w:lang w:val="en-NZ"/>
              </w:rPr>
            </w:pPr>
            <w:r w:rsidRPr="002C5A9C">
              <w:t>1.6</w:t>
            </w:r>
            <w:r w:rsidRPr="002C5A9C">
              <w:tab/>
              <w:t>Case briefings are conducted with relevant personnel in accordance with judicial and organisational policies and pr</w:t>
            </w:r>
            <w:r w:rsidRPr="002C5A9C">
              <w:t>ocedures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List"/>
              <w:rPr>
                <w:lang w:val="en-NZ"/>
              </w:rPr>
            </w:pPr>
            <w:r w:rsidRPr="002C5A9C">
              <w:rPr>
                <w:rStyle w:val="SpecialBold"/>
              </w:rPr>
              <w:t>2.</w:t>
            </w:r>
            <w:r w:rsidRPr="002C5A9C">
              <w:rPr>
                <w:rStyle w:val="SpecialBold"/>
              </w:rPr>
              <w:tab/>
              <w:t>Present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List"/>
            </w:pPr>
            <w:r w:rsidRPr="002C5A9C">
              <w:t>2.1</w:t>
            </w:r>
            <w:r w:rsidRPr="002C5A9C">
              <w:tab/>
              <w:t xml:space="preserve">Adherence to rules of evidence, protocols and procedures relevant to the jurisdiction is applied </w:t>
            </w:r>
          </w:p>
          <w:p w:rsidR="00000000" w:rsidRPr="002C5A9C" w:rsidP="002C5A9C">
            <w:pPr>
              <w:pStyle w:val="List"/>
            </w:pPr>
            <w:r w:rsidRPr="002C5A9C">
              <w:t>2.2</w:t>
            </w:r>
            <w:r w:rsidRPr="002C5A9C">
              <w:tab/>
              <w:t>Evidence is communicated in a clear concise and articulate manner</w:t>
            </w:r>
          </w:p>
          <w:p w:rsidR="00000000" w:rsidRPr="002C5A9C" w:rsidP="002C5A9C">
            <w:pPr>
              <w:pStyle w:val="List"/>
            </w:pPr>
            <w:r w:rsidRPr="002C5A9C">
              <w:t>2.3</w:t>
            </w:r>
            <w:r w:rsidRPr="002C5A9C">
              <w:tab/>
              <w:t xml:space="preserve">Expert evidence or opinion is provided on request </w:t>
            </w:r>
            <w:r w:rsidRPr="002C5A9C">
              <w:t xml:space="preserve">in accordance with judicial requirements </w:t>
            </w:r>
          </w:p>
          <w:p w:rsidR="00000000" w:rsidP="002C5A9C">
            <w:pPr>
              <w:pStyle w:val="List"/>
              <w:rPr>
                <w:lang w:val="en-NZ"/>
              </w:rPr>
            </w:pPr>
            <w:r w:rsidRPr="002C5A9C">
              <w:t>2.4</w:t>
            </w:r>
            <w:r w:rsidRPr="002C5A9C">
              <w:tab/>
              <w:t>Exhibits are presented in accordance with legal, judicial and occupational health and safety (OH&amp;S) requirements as required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List"/>
              <w:rPr>
                <w:lang w:val="en-NZ"/>
              </w:rPr>
            </w:pPr>
            <w:r w:rsidRPr="002C5A9C">
              <w:rPr>
                <w:rStyle w:val="SpecialBold"/>
              </w:rPr>
              <w:t>3.</w:t>
            </w:r>
            <w:r w:rsidRPr="002C5A9C">
              <w:rPr>
                <w:rStyle w:val="SpecialBold"/>
              </w:rPr>
              <w:tab/>
              <w:t>Review court proceedings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List"/>
            </w:pPr>
            <w:r w:rsidRPr="002C5A9C">
              <w:t>3.1</w:t>
            </w:r>
            <w:r w:rsidRPr="002C5A9C">
              <w:tab/>
              <w:t>Outcomes of proceedings are reviewed and where appro</w:t>
            </w:r>
            <w:r w:rsidRPr="002C5A9C">
              <w:t xml:space="preserve">priate, issues are communicated to appropriate personnel in the organisation </w:t>
            </w:r>
          </w:p>
          <w:p w:rsidR="00000000" w:rsidRPr="002C5A9C" w:rsidP="002C5A9C">
            <w:pPr>
              <w:pStyle w:val="List"/>
            </w:pPr>
            <w:r w:rsidRPr="002C5A9C">
              <w:t>3.2</w:t>
            </w:r>
            <w:r w:rsidRPr="002C5A9C">
              <w:tab/>
              <w:t>Involvement in the judicial proceedings is evaluated to inform future practice</w:t>
            </w:r>
          </w:p>
        </w:tc>
      </w:tr>
    </w:tbl>
    <w:p w:rsidR="00000000" w:rsidRPr="002C5A9C" w:rsidP="002C5A9C">
      <w:pPr>
        <w:pStyle w:val="BodyText"/>
      </w:pP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9" w:name="O_490233"/>
      <w:bookmarkEnd w:id="9"/>
      <w:r w:rsidRPr="002C5A9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t>This describes the essential skills and knowledge and their level, required for this unit.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rPr>
                <w:rStyle w:val="SpecialBold"/>
              </w:rPr>
              <w:t>Required Skills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ListBullet"/>
            </w:pPr>
            <w:r w:rsidRPr="002C5A9C">
              <w:t>brief counsel</w:t>
            </w:r>
          </w:p>
          <w:p w:rsidR="00000000" w:rsidRPr="002C5A9C" w:rsidP="002C5A9C">
            <w:pPr>
              <w:pStyle w:val="ListBullet"/>
            </w:pPr>
            <w:r w:rsidRPr="002C5A9C">
              <w:t>collate evidence</w:t>
            </w:r>
          </w:p>
          <w:p w:rsidR="00000000" w:rsidRPr="002C5A9C" w:rsidP="002C5A9C">
            <w:pPr>
              <w:pStyle w:val="ListBullet"/>
            </w:pPr>
            <w:r w:rsidRPr="002C5A9C">
              <w:t>prepare statements</w:t>
            </w:r>
          </w:p>
          <w:p w:rsidR="00000000" w:rsidRPr="002C5A9C" w:rsidP="002C5A9C">
            <w:pPr>
              <w:pStyle w:val="ListBullet"/>
            </w:pPr>
            <w:r w:rsidRPr="002C5A9C">
              <w:t>present evidence clearly and concisely</w:t>
            </w:r>
          </w:p>
          <w:p w:rsidR="00000000" w:rsidRPr="002C5A9C" w:rsidP="002C5A9C">
            <w:pPr>
              <w:pStyle w:val="ListBullet"/>
            </w:pPr>
            <w:r w:rsidRPr="002C5A9C">
              <w:t xml:space="preserve">produce scientific reports </w:t>
            </w:r>
          </w:p>
          <w:p w:rsidR="00000000" w:rsidRPr="002C5A9C" w:rsidP="002C5A9C">
            <w:pPr>
              <w:pStyle w:val="ListBullet"/>
            </w:pPr>
            <w:r w:rsidRPr="002C5A9C">
              <w:t>research and identify precedents</w:t>
            </w:r>
          </w:p>
          <w:p w:rsidR="00000000" w:rsidRPr="002C5A9C" w:rsidP="002C5A9C">
            <w:pPr>
              <w:pStyle w:val="ListBullet"/>
            </w:pPr>
            <w:r w:rsidRPr="002C5A9C">
              <w:t>take notes</w:t>
            </w:r>
          </w:p>
          <w:p w:rsidR="00000000" w:rsidRPr="002C5A9C" w:rsidP="002C5A9C">
            <w:pPr>
              <w:pStyle w:val="ListBullet"/>
            </w:pPr>
            <w:r w:rsidRPr="002C5A9C">
              <w:t>use a computer to create, edit and print documents</w:t>
            </w:r>
          </w:p>
          <w:p w:rsidR="00000000" w:rsidP="002C5A9C">
            <w:pPr>
              <w:pStyle w:val="ListBullet"/>
              <w:rPr>
                <w:lang w:val="en-NZ"/>
              </w:rPr>
            </w:pPr>
            <w:r w:rsidRPr="002C5A9C">
              <w:t>write reports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rPr>
                <w:rStyle w:val="SpecialBold"/>
              </w:rPr>
              <w:t>Required Knowledge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ListBullet"/>
            </w:pPr>
            <w:r w:rsidRPr="002C5A9C">
              <w:t>appeals systems</w:t>
            </w:r>
          </w:p>
          <w:p w:rsidR="00000000" w:rsidRPr="002C5A9C" w:rsidP="002C5A9C">
            <w:pPr>
              <w:pStyle w:val="ListBullet"/>
            </w:pPr>
            <w:r w:rsidRPr="002C5A9C">
              <w:t>burden of proof</w:t>
            </w:r>
          </w:p>
          <w:p w:rsidR="00000000" w:rsidRPr="002C5A9C" w:rsidP="002C5A9C">
            <w:pPr>
              <w:pStyle w:val="ListBullet"/>
            </w:pPr>
            <w:r w:rsidRPr="002C5A9C">
              <w:t>conduct and operation of hearings</w:t>
            </w:r>
          </w:p>
          <w:p w:rsidR="00000000" w:rsidRPr="002C5A9C" w:rsidP="002C5A9C">
            <w:pPr>
              <w:pStyle w:val="ListBullet"/>
            </w:pPr>
            <w:r w:rsidRPr="002C5A9C">
              <w:t>Coroners Act</w:t>
            </w:r>
          </w:p>
          <w:p w:rsidR="00000000" w:rsidRPr="002C5A9C" w:rsidP="002C5A9C">
            <w:pPr>
              <w:pStyle w:val="ListBullet"/>
            </w:pPr>
            <w:r w:rsidRPr="002C5A9C">
              <w:t>Criminal Code</w:t>
            </w:r>
          </w:p>
          <w:p w:rsidR="00000000" w:rsidRPr="002C5A9C" w:rsidP="002C5A9C">
            <w:pPr>
              <w:pStyle w:val="ListBullet"/>
            </w:pPr>
            <w:r w:rsidRPr="002C5A9C">
              <w:t>exemptions and defences</w:t>
            </w:r>
          </w:p>
          <w:p w:rsidR="00000000" w:rsidRPr="002C5A9C" w:rsidP="002C5A9C">
            <w:pPr>
              <w:pStyle w:val="ListBullet"/>
            </w:pPr>
            <w:r w:rsidRPr="002C5A9C">
              <w:t>general p</w:t>
            </w:r>
            <w:r w:rsidRPr="002C5A9C">
              <w:t>rinciples of criminal liability</w:t>
            </w:r>
          </w:p>
          <w:p w:rsidR="00000000" w:rsidRPr="002C5A9C" w:rsidP="002C5A9C">
            <w:pPr>
              <w:pStyle w:val="ListBullet"/>
            </w:pPr>
            <w:r w:rsidRPr="002C5A9C">
              <w:t>Hearsay Rule</w:t>
            </w:r>
          </w:p>
          <w:p w:rsidR="00000000" w:rsidRPr="002C5A9C" w:rsidP="002C5A9C">
            <w:pPr>
              <w:pStyle w:val="ListBullet"/>
            </w:pPr>
            <w:r w:rsidRPr="002C5A9C">
              <w:t>how to prepare legal brief (precedents, witness statements, records of evidence, investigator's reports, media footage, log books)</w:t>
            </w:r>
          </w:p>
          <w:p w:rsidR="00000000" w:rsidRPr="002C5A9C" w:rsidP="002C5A9C">
            <w:pPr>
              <w:pStyle w:val="ListBullet"/>
            </w:pPr>
            <w:r w:rsidRPr="002C5A9C">
              <w:t>how to prepare submissions</w:t>
            </w:r>
          </w:p>
          <w:p w:rsidR="00000000" w:rsidRPr="002C5A9C" w:rsidP="002C5A9C">
            <w:pPr>
              <w:pStyle w:val="ListBullet"/>
            </w:pPr>
            <w:r w:rsidRPr="002C5A9C">
              <w:t>legislative requirements of presenting evidence</w:t>
            </w:r>
          </w:p>
          <w:p w:rsidR="00000000" w:rsidRPr="002C5A9C" w:rsidP="002C5A9C">
            <w:pPr>
              <w:pStyle w:val="ListBullet"/>
            </w:pPr>
            <w:r w:rsidRPr="002C5A9C">
              <w:t>organisational policies and procedures relating to preparation of documents and evidence, and providing expert opinion</w:t>
            </w:r>
          </w:p>
          <w:p w:rsidR="00000000" w:rsidRPr="002C5A9C" w:rsidP="002C5A9C">
            <w:pPr>
              <w:pStyle w:val="ListBullet"/>
            </w:pPr>
            <w:r w:rsidRPr="002C5A9C">
              <w:t>points of proof</w:t>
            </w:r>
          </w:p>
          <w:p w:rsidR="00000000" w:rsidRPr="002C5A9C" w:rsidP="002C5A9C">
            <w:pPr>
              <w:pStyle w:val="ListBullet"/>
            </w:pPr>
            <w:r w:rsidRPr="002C5A9C">
              <w:t xml:space="preserve">procedures and protocols in different judicial/quasi-judicial systems </w:t>
            </w:r>
          </w:p>
          <w:p w:rsidR="00000000" w:rsidRPr="002C5A9C" w:rsidP="002C5A9C">
            <w:pPr>
              <w:pStyle w:val="ListBullet"/>
            </w:pPr>
            <w:r w:rsidRPr="002C5A9C">
              <w:t>qualifications and experience required of expert w</w:t>
            </w:r>
            <w:r w:rsidRPr="002C5A9C">
              <w:t>itnesses</w:t>
            </w:r>
          </w:p>
          <w:p w:rsidR="00000000" w:rsidRPr="002C5A9C" w:rsidP="002C5A9C">
            <w:pPr>
              <w:pStyle w:val="ListBullet"/>
            </w:pPr>
            <w:r w:rsidRPr="002C5A9C">
              <w:t>range of crimes/offences that can be committed</w:t>
            </w:r>
          </w:p>
          <w:p w:rsidR="00000000" w:rsidRPr="002C5A9C" w:rsidP="002C5A9C">
            <w:pPr>
              <w:pStyle w:val="ListBullet"/>
            </w:pPr>
            <w:r w:rsidRPr="002C5A9C">
              <w:t>relevant sections of Evidence Act</w:t>
            </w:r>
          </w:p>
          <w:p w:rsidR="00000000" w:rsidRPr="002C5A9C" w:rsidP="002C5A9C">
            <w:pPr>
              <w:pStyle w:val="ListBullet"/>
            </w:pPr>
            <w:r w:rsidRPr="002C5A9C">
              <w:t xml:space="preserve">relevant sections of legislation </w:t>
            </w:r>
          </w:p>
          <w:p w:rsidR="00000000" w:rsidRPr="002C5A9C" w:rsidP="002C5A9C">
            <w:pPr>
              <w:pStyle w:val="ListBullet"/>
            </w:pPr>
            <w:r w:rsidRPr="002C5A9C">
              <w:t>role of lay and expert witnesses</w:t>
            </w:r>
          </w:p>
          <w:p w:rsidR="00000000" w:rsidRPr="002C5A9C" w:rsidP="002C5A9C">
            <w:pPr>
              <w:pStyle w:val="ListBullet"/>
            </w:pPr>
            <w:r w:rsidRPr="002C5A9C">
              <w:t>role of legal personnel in judicial/quasi-judicial systems</w:t>
            </w:r>
          </w:p>
          <w:p w:rsidR="00000000" w:rsidRPr="002C5A9C" w:rsidP="002C5A9C">
            <w:pPr>
              <w:pStyle w:val="ListBullet"/>
            </w:pPr>
            <w:r w:rsidRPr="002C5A9C">
              <w:t xml:space="preserve">rules of evidence in different judicial </w:t>
            </w:r>
            <w:r w:rsidRPr="002C5A9C">
              <w:t xml:space="preserve">or quasi-judicial settings </w:t>
            </w:r>
          </w:p>
          <w:p w:rsidR="00000000" w:rsidRPr="002C5A9C" w:rsidP="002C5A9C">
            <w:pPr>
              <w:pStyle w:val="ListBullet"/>
            </w:pPr>
            <w:r w:rsidRPr="002C5A9C">
              <w:t>types of evidence admissible in judicial/quasi-judicial systems</w:t>
            </w:r>
          </w:p>
          <w:p w:rsidR="00000000" w:rsidRPr="002C5A9C" w:rsidP="002C5A9C">
            <w:pPr>
              <w:pStyle w:val="ListBullet"/>
            </w:pPr>
            <w:r w:rsidRPr="002C5A9C">
              <w:t>types of offences</w:t>
            </w:r>
          </w:p>
          <w:p w:rsidR="00000000" w:rsidRPr="002C5A9C" w:rsidP="002C5A9C">
            <w:pPr>
              <w:pStyle w:val="ListBullet"/>
            </w:pPr>
            <w:r w:rsidRPr="002C5A9C">
              <w:t>use of notes in court/tribunal/commission</w:t>
            </w:r>
          </w:p>
        </w:tc>
      </w:tr>
    </w:tbl>
    <w:p w:rsidR="00000000" w:rsidRPr="002C5A9C" w:rsidP="002C5A9C">
      <w:pPr>
        <w:pStyle w:val="BodyText"/>
      </w:pP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10" w:name="O_490231"/>
      <w:bookmarkEnd w:id="10"/>
      <w:r w:rsidRPr="002C5A9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t>The evidence guide provides advice on assessment and must be read in c</w:t>
            </w:r>
            <w:r w:rsidRPr="002C5A9C">
              <w:t>onjunction with the Performance Criteria, Required Skills and Knowledge, the Range Statement and the Assessment Guidelines for this Training Package.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BodyText"/>
            </w:pPr>
            <w:r w:rsidRPr="002C5A9C">
              <w:t>Assessment must confirm the ability to:</w:t>
            </w:r>
          </w:p>
          <w:p w:rsidR="00000000" w:rsidRPr="002C5A9C" w:rsidP="002C5A9C">
            <w:pPr>
              <w:pStyle w:val="ListBullet"/>
            </w:pPr>
            <w:r w:rsidRPr="002C5A9C">
              <w:t xml:space="preserve">prepare forensic evidence, statements and submissions </w:t>
            </w:r>
          </w:p>
          <w:p w:rsidR="00000000" w:rsidRPr="002C5A9C" w:rsidP="002C5A9C">
            <w:pPr>
              <w:pStyle w:val="ListBullet"/>
            </w:pPr>
            <w:r w:rsidRPr="002C5A9C">
              <w:t>brief counsel utilising the full and detailed evidence to hand</w:t>
            </w:r>
          </w:p>
          <w:p w:rsidR="00000000" w:rsidRPr="002C5A9C" w:rsidP="002C5A9C">
            <w:pPr>
              <w:pStyle w:val="ListBullet"/>
            </w:pPr>
            <w:r w:rsidRPr="002C5A9C">
              <w:t>prepare and present comprehensive and accurate legal briefs.</w:t>
            </w:r>
          </w:p>
          <w:p w:rsidR="00000000" w:rsidRPr="002C5A9C" w:rsidP="002C5A9C">
            <w:pPr>
              <w:pStyle w:val="BodyText"/>
            </w:pPr>
            <w:r w:rsidRPr="002C5A9C">
              <w:rPr>
                <w:rStyle w:val="SpecialBold"/>
              </w:rPr>
              <w:t>Consistency in performance</w:t>
            </w:r>
          </w:p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t>Competency</w:t>
            </w:r>
            <w:r w:rsidRPr="002C5A9C">
              <w:t xml:space="preserve"> should be demonstrated over time in a range of actual or simulated workplace environments.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BodyText"/>
            </w:pPr>
            <w:r w:rsidRPr="002C5A9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BodyText"/>
            </w:pPr>
            <w:r w:rsidRPr="002C5A9C">
              <w:rPr>
                <w:rStyle w:val="SpecialBold"/>
              </w:rPr>
              <w:t>Context of assessment</w:t>
            </w:r>
          </w:p>
          <w:p w:rsidR="00000000" w:rsidRPr="002C5A9C" w:rsidP="002C5A9C">
            <w:pPr>
              <w:pStyle w:val="BodyText"/>
            </w:pPr>
            <w:r w:rsidRPr="002C5A9C">
              <w:t>Competency should be assessed on-the-job or in a simulated work environment.</w:t>
            </w:r>
          </w:p>
          <w:p w:rsidR="00000000" w:rsidRPr="002C5A9C" w:rsidP="002C5A9C">
            <w:pPr>
              <w:pStyle w:val="BodyText"/>
            </w:pPr>
            <w:r w:rsidRPr="002C5A9C">
              <w:rPr>
                <w:rStyle w:val="SpecialBold"/>
              </w:rPr>
              <w:t>Specific resour</w:t>
            </w:r>
            <w:r w:rsidRPr="002C5A9C">
              <w:rPr>
                <w:rStyle w:val="SpecialBold"/>
              </w:rPr>
              <w:t>ces for assessment</w:t>
            </w:r>
          </w:p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t>There are no specific resource requirements for this unit.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BodyText"/>
            </w:pPr>
            <w:r w:rsidRPr="002C5A9C">
              <w:t xml:space="preserve">In a public safety environment assessment is usually conducted via direct observation in a training environment or in the workplace via subject </w:t>
            </w:r>
            <w:r w:rsidRPr="002C5A9C">
              <w:t>matter supervision and/or mentoring, which is typically recorded in a competency workbook.</w:t>
            </w:r>
          </w:p>
          <w:p w:rsidR="00000000" w:rsidRPr="002C5A9C" w:rsidP="002C5A9C">
            <w:pPr>
              <w:pStyle w:val="BodyText"/>
            </w:pPr>
            <w:r w:rsidRPr="002C5A9C">
              <w:t>Assessment is completed using appropriately qualified assessors who select the most appropriate method of assessment.</w:t>
            </w:r>
          </w:p>
          <w:p w:rsidR="00000000" w:rsidRPr="002C5A9C" w:rsidP="002C5A9C">
            <w:pPr>
              <w:pStyle w:val="BodyText"/>
            </w:pPr>
            <w:r w:rsidRPr="002C5A9C">
              <w:t>Assessment may occur in an operational environm</w:t>
            </w:r>
            <w:r w:rsidRPr="002C5A9C">
              <w:t>ent or in an industry-approved simulated work environment. Forms of assessment that are typically used include:</w:t>
            </w:r>
          </w:p>
          <w:p w:rsidR="00000000" w:rsidRPr="002C5A9C" w:rsidP="002C5A9C">
            <w:pPr>
              <w:pStyle w:val="ListBullet"/>
            </w:pPr>
            <w:r w:rsidRPr="002C5A9C">
              <w:t>direct observation</w:t>
            </w:r>
          </w:p>
          <w:p w:rsidR="00000000" w:rsidRPr="002C5A9C" w:rsidP="002C5A9C">
            <w:pPr>
              <w:pStyle w:val="ListBullet"/>
            </w:pPr>
            <w:r w:rsidRPr="002C5A9C">
              <w:t>interviewing the candidate</w:t>
            </w:r>
          </w:p>
          <w:p w:rsidR="00000000" w:rsidRPr="002C5A9C" w:rsidP="002C5A9C">
            <w:pPr>
              <w:pStyle w:val="ListBullet"/>
            </w:pPr>
            <w:r w:rsidRPr="002C5A9C">
              <w:t>journals and workplace documentation</w:t>
            </w:r>
          </w:p>
          <w:p w:rsidR="00000000" w:rsidRPr="002C5A9C" w:rsidP="002C5A9C">
            <w:pPr>
              <w:pStyle w:val="ListBullet"/>
            </w:pPr>
            <w:r w:rsidRPr="002C5A9C">
              <w:t>third party reports from supervisors</w:t>
            </w:r>
          </w:p>
          <w:p w:rsidR="00000000" w:rsidRPr="002C5A9C" w:rsidP="002C5A9C">
            <w:pPr>
              <w:pStyle w:val="ListBullet"/>
            </w:pPr>
            <w:r w:rsidRPr="002C5A9C">
              <w:t>written or oral question</w:t>
            </w:r>
            <w:r w:rsidRPr="002C5A9C">
              <w:t>s.</w:t>
            </w:r>
          </w:p>
        </w:tc>
      </w:tr>
    </w:tbl>
    <w:p w:rsidR="00000000" w:rsidRPr="002C5A9C" w:rsidP="002C5A9C">
      <w:pPr>
        <w:pStyle w:val="BodyText"/>
      </w:pP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11" w:name="O_490232"/>
      <w:bookmarkEnd w:id="11"/>
      <w:r w:rsidRPr="002C5A9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t xml:space="preserve">The Range Statement relates to the Unit of Competency as a whole. It allows for different work environments and situations that may affect performance. </w:t>
            </w:r>
            <w:r w:rsidRPr="002C5A9C">
              <w:rPr>
                <w:rStyle w:val="BoldandItalics"/>
              </w:rPr>
              <w:t>Bold italicised</w:t>
            </w:r>
            <w:r w:rsidRPr="002C5A9C">
              <w:t xml:space="preserve"> wording in the Performance Criteria is detailed be</w:t>
            </w:r>
            <w:r w:rsidRPr="002C5A9C">
              <w:t>low.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rPr>
                <w:rStyle w:val="BoldandItalics"/>
              </w:rPr>
              <w:t xml:space="preserve">Evidence </w:t>
            </w:r>
            <w:r w:rsidRPr="002C5A9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ListBullet"/>
            </w:pPr>
            <w:r w:rsidRPr="002C5A9C">
              <w:t>Case files</w:t>
            </w:r>
          </w:p>
          <w:p w:rsidR="00000000" w:rsidRPr="002C5A9C" w:rsidP="002C5A9C">
            <w:pPr>
              <w:pStyle w:val="ListBullet"/>
            </w:pPr>
            <w:r w:rsidRPr="002C5A9C">
              <w:t>Court documents</w:t>
            </w:r>
          </w:p>
          <w:p w:rsidR="00000000" w:rsidRPr="002C5A9C" w:rsidP="002C5A9C">
            <w:pPr>
              <w:pStyle w:val="ListBullet"/>
            </w:pPr>
            <w:r w:rsidRPr="002C5A9C">
              <w:t>Exhibits</w:t>
            </w:r>
          </w:p>
          <w:p w:rsidR="00000000" w:rsidRPr="002C5A9C" w:rsidP="002C5A9C">
            <w:pPr>
              <w:pStyle w:val="ListBullet"/>
            </w:pPr>
            <w:r w:rsidRPr="002C5A9C">
              <w:t>Expert reports</w:t>
            </w:r>
          </w:p>
          <w:p w:rsidR="00000000" w:rsidRPr="002C5A9C" w:rsidP="002C5A9C">
            <w:pPr>
              <w:pStyle w:val="ListBullet"/>
            </w:pPr>
            <w:r w:rsidRPr="002C5A9C">
              <w:t xml:space="preserve">Notes </w:t>
            </w:r>
          </w:p>
          <w:p w:rsidR="00000000" w:rsidRPr="002C5A9C" w:rsidP="002C5A9C">
            <w:pPr>
              <w:pStyle w:val="ListBullet"/>
            </w:pPr>
            <w:r w:rsidRPr="002C5A9C">
              <w:t>Photographs</w:t>
            </w:r>
          </w:p>
          <w:p w:rsidR="00000000" w:rsidRPr="002C5A9C" w:rsidP="002C5A9C">
            <w:pPr>
              <w:pStyle w:val="ListBullet"/>
            </w:pPr>
            <w:r w:rsidRPr="002C5A9C">
              <w:t>Statements</w:t>
            </w:r>
          </w:p>
          <w:p w:rsidR="00000000" w:rsidP="002C5A9C">
            <w:pPr>
              <w:pStyle w:val="ListBullet"/>
              <w:rPr>
                <w:lang w:val="en-NZ"/>
              </w:rPr>
            </w:pPr>
            <w:r w:rsidRPr="002C5A9C">
              <w:t>Visual aid (audio, visual, physical)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rPr>
                <w:rStyle w:val="BoldandItalics"/>
              </w:rPr>
              <w:t xml:space="preserve">Protocols </w:t>
            </w:r>
            <w:r w:rsidRPr="002C5A9C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ListBullet"/>
            </w:pPr>
            <w:r w:rsidRPr="002C5A9C">
              <w:t>Forms of address</w:t>
            </w:r>
          </w:p>
          <w:p w:rsidR="00000000" w:rsidP="002C5A9C">
            <w:pPr>
              <w:pStyle w:val="ListBullet"/>
              <w:rPr>
                <w:lang w:val="en-NZ"/>
              </w:rPr>
            </w:pPr>
            <w:r w:rsidRPr="002C5A9C">
              <w:t>Standards of attire</w:t>
            </w:r>
          </w:p>
        </w:tc>
      </w:tr>
      <w:tr w:rsidTr="00E11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A9C">
            <w:pPr>
              <w:pStyle w:val="BodyText"/>
              <w:rPr>
                <w:lang w:val="en-NZ"/>
              </w:rPr>
            </w:pPr>
            <w:r w:rsidRPr="002C5A9C">
              <w:rPr>
                <w:rStyle w:val="BoldandItalics"/>
              </w:rPr>
              <w:t>Court proceedings</w:t>
            </w:r>
            <w:r w:rsidRPr="002C5A9C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A9C" w:rsidP="002C5A9C">
            <w:pPr>
              <w:pStyle w:val="ListBullet"/>
            </w:pPr>
            <w:r w:rsidRPr="002C5A9C">
              <w:t>Judicial and quasi-judicial tribunals</w:t>
            </w:r>
          </w:p>
          <w:p w:rsidR="00000000" w:rsidRPr="002C5A9C" w:rsidP="002C5A9C">
            <w:pPr>
              <w:pStyle w:val="ListBullet"/>
            </w:pPr>
            <w:r w:rsidRPr="002C5A9C">
              <w:t>Rules of court</w:t>
            </w:r>
          </w:p>
        </w:tc>
      </w:tr>
    </w:tbl>
    <w:p w:rsidR="00000000" w:rsidRPr="002C5A9C" w:rsidP="002C5A9C">
      <w:pPr>
        <w:pStyle w:val="BodyText"/>
      </w:pPr>
    </w:p>
    <w:p w:rsidR="00000000" w:rsidRPr="002C5A9C" w:rsidP="002C5A9C">
      <w:pPr>
        <w:pStyle w:val="AllowPageBreak"/>
      </w:pPr>
    </w:p>
    <w:p w:rsidR="00000000" w:rsidRPr="002C5A9C" w:rsidP="002C5A9C">
      <w:pPr>
        <w:pStyle w:val="Heading1"/>
      </w:pPr>
      <w:bookmarkStart w:id="12" w:name="O_490235"/>
      <w:bookmarkEnd w:id="12"/>
      <w:r w:rsidRPr="002C5A9C">
        <w:t>Unit Sector(s)</w:t>
      </w:r>
    </w:p>
    <w:p w:rsidR="00000000" w:rsidRPr="002C5A9C" w:rsidP="002C5A9C">
      <w:pPr>
        <w:pStyle w:val="BodyText"/>
      </w:pPr>
      <w:r w:rsidRPr="002C5A9C">
        <w:t>Not applicable.</w:t>
      </w:r>
    </w:p>
    <w:p w:rsidR="00000000" w:rsidRPr="002C5A9C" w:rsidP="002C5A9C"/>
    <w:sectPr w:rsidSect="002C5A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11EDD" w:rsidP="00E11ED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DD" w:rsidP="002C5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EDD" w:rsidP="002C5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11EDD" w:rsidP="002C5A9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9C" w:rsidRPr="00E11EDD" w:rsidP="00E11E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EDD" w:rsidRPr="002D2AF8" w:rsidP="002C5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PUAPOLFC022A Prepare and present specialist forensic evidence or opinion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11EDD" w:rsidP="002C5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FAA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A9C"/>
  </w:style>
  <w:style w:type="character" w:customStyle="1" w:styleId="Heading1Char">
    <w:name w:val="Heading 1 Char"/>
    <w:basedOn w:val="DefaultParagraphFont"/>
    <w:link w:val="Heading1"/>
    <w:rsid w:val="002C5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A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A9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C5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A9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C5A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5A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A9C"/>
    <w:rPr>
      <w:b/>
      <w:spacing w:val="0"/>
    </w:rPr>
  </w:style>
  <w:style w:type="paragraph" w:customStyle="1" w:styleId="SuperHeading">
    <w:name w:val="SuperHeading"/>
    <w:basedOn w:val="Normal"/>
    <w:rsid w:val="002C5A9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C5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C5A9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C5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C5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A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5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5A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5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A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A9C"/>
    <w:rPr>
      <w:i/>
    </w:rPr>
  </w:style>
  <w:style w:type="paragraph" w:styleId="Caption">
    <w:name w:val="caption"/>
    <w:basedOn w:val="BodyText"/>
    <w:next w:val="Normal"/>
    <w:qFormat/>
    <w:rsid w:val="002C5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A9C"/>
  </w:style>
  <w:style w:type="paragraph" w:styleId="TableofFigures">
    <w:name w:val="table of figures"/>
    <w:basedOn w:val="Normal"/>
    <w:next w:val="Normal"/>
    <w:semiHidden/>
    <w:rsid w:val="002C5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A9C"/>
    <w:pPr>
      <w:numPr>
        <w:numId w:val="10"/>
      </w:numPr>
    </w:pPr>
  </w:style>
  <w:style w:type="character" w:customStyle="1" w:styleId="WingdingSymbols">
    <w:name w:val="Wingding Symbols"/>
    <w:rsid w:val="002C5A9C"/>
    <w:rPr>
      <w:rFonts w:ascii="Wingdings" w:hAnsi="Wingdings"/>
    </w:rPr>
  </w:style>
  <w:style w:type="paragraph" w:customStyle="1" w:styleId="TableHeading">
    <w:name w:val="Table Heading"/>
    <w:basedOn w:val="HeadingBase"/>
    <w:rsid w:val="002C5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A9C"/>
    <w:rPr>
      <w:color w:val="0033CC"/>
      <w:u w:val="none"/>
    </w:rPr>
  </w:style>
  <w:style w:type="paragraph" w:customStyle="1" w:styleId="BodyTextRight">
    <w:name w:val="Body Text Right"/>
    <w:basedOn w:val="BodyText"/>
    <w:rsid w:val="002C5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A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A9C"/>
    <w:rPr>
      <w:sz w:val="32"/>
    </w:rPr>
  </w:style>
  <w:style w:type="paragraph" w:customStyle="1" w:styleId="HeadingProcedure">
    <w:name w:val="Heading Procedure"/>
    <w:basedOn w:val="HeadingBase"/>
    <w:next w:val="Normal"/>
    <w:rsid w:val="002C5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A9C"/>
    <w:pPr>
      <w:spacing w:before="60" w:after="60"/>
    </w:pPr>
  </w:style>
  <w:style w:type="paragraph" w:styleId="ListContinue">
    <w:name w:val="List Continue"/>
    <w:basedOn w:val="List"/>
    <w:rsid w:val="002C5A9C"/>
    <w:pPr>
      <w:ind w:firstLine="0"/>
    </w:pPr>
  </w:style>
  <w:style w:type="paragraph" w:customStyle="1" w:styleId="ListNote">
    <w:name w:val="List Note"/>
    <w:basedOn w:val="List"/>
    <w:rsid w:val="002C5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A9C"/>
    <w:rPr>
      <w:rFonts w:ascii="Courier New" w:hAnsi="Courier New"/>
    </w:rPr>
  </w:style>
  <w:style w:type="paragraph" w:customStyle="1" w:styleId="NoteBullet">
    <w:name w:val="Note Bullet"/>
    <w:basedOn w:val="Note"/>
    <w:rsid w:val="002C5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A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5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A9C"/>
    <w:rPr>
      <w:b/>
      <w:smallCaps/>
    </w:rPr>
  </w:style>
  <w:style w:type="paragraph" w:customStyle="1" w:styleId="TableListNumber">
    <w:name w:val="Table List Number"/>
    <w:basedOn w:val="ListNumber"/>
    <w:rsid w:val="002C5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A9C"/>
    <w:pPr>
      <w:numPr>
        <w:numId w:val="8"/>
      </w:numPr>
    </w:pPr>
  </w:style>
  <w:style w:type="paragraph" w:customStyle="1" w:styleId="ListAlpha2">
    <w:name w:val="List Alpha 2"/>
    <w:basedOn w:val="List2"/>
    <w:rsid w:val="002C5A9C"/>
    <w:pPr>
      <w:numPr>
        <w:numId w:val="7"/>
      </w:numPr>
    </w:pPr>
  </w:style>
  <w:style w:type="paragraph" w:styleId="List2">
    <w:name w:val="List 2"/>
    <w:basedOn w:val="BodyText"/>
    <w:rsid w:val="002C5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5A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5A9C"/>
    <w:pPr>
      <w:numPr>
        <w:numId w:val="2"/>
      </w:numPr>
    </w:pPr>
  </w:style>
  <w:style w:type="paragraph" w:styleId="ListBullet5">
    <w:name w:val="List Bullet 5"/>
    <w:basedOn w:val="List5"/>
    <w:rsid w:val="002C5A9C"/>
    <w:pPr>
      <w:numPr>
        <w:numId w:val="3"/>
      </w:numPr>
    </w:pPr>
  </w:style>
  <w:style w:type="paragraph" w:styleId="ListContinue2">
    <w:name w:val="List Continue 2"/>
    <w:basedOn w:val="List2"/>
    <w:rsid w:val="002C5A9C"/>
    <w:pPr>
      <w:ind w:firstLine="0"/>
    </w:pPr>
  </w:style>
  <w:style w:type="paragraph" w:styleId="ListContinue3">
    <w:name w:val="List Continue 3"/>
    <w:basedOn w:val="List3"/>
    <w:rsid w:val="002C5A9C"/>
    <w:pPr>
      <w:ind w:left="1021" w:firstLine="0"/>
    </w:pPr>
  </w:style>
  <w:style w:type="paragraph" w:styleId="ListContinue4">
    <w:name w:val="List Continue 4"/>
    <w:basedOn w:val="List4"/>
    <w:rsid w:val="002C5A9C"/>
    <w:pPr>
      <w:ind w:firstLine="0"/>
    </w:pPr>
  </w:style>
  <w:style w:type="paragraph" w:styleId="ListContinue5">
    <w:name w:val="List Continue 5"/>
    <w:basedOn w:val="List5"/>
    <w:rsid w:val="002C5A9C"/>
    <w:pPr>
      <w:ind w:firstLine="0"/>
    </w:pPr>
  </w:style>
  <w:style w:type="paragraph" w:styleId="ListNumber3">
    <w:name w:val="List Number 3"/>
    <w:basedOn w:val="List3"/>
    <w:rsid w:val="002C5A9C"/>
    <w:pPr>
      <w:numPr>
        <w:numId w:val="4"/>
      </w:numPr>
    </w:pPr>
  </w:style>
  <w:style w:type="paragraph" w:styleId="ListNumber4">
    <w:name w:val="List Number 4"/>
    <w:basedOn w:val="List4"/>
    <w:rsid w:val="002C5A9C"/>
    <w:pPr>
      <w:numPr>
        <w:numId w:val="5"/>
      </w:numPr>
    </w:pPr>
  </w:style>
  <w:style w:type="paragraph" w:styleId="ListNumber5">
    <w:name w:val="List Number 5"/>
    <w:basedOn w:val="List5"/>
    <w:rsid w:val="002C5A9C"/>
    <w:pPr>
      <w:numPr>
        <w:numId w:val="6"/>
      </w:numPr>
    </w:pPr>
  </w:style>
  <w:style w:type="paragraph" w:styleId="BlockText">
    <w:name w:val="Block Text"/>
    <w:basedOn w:val="Normal"/>
    <w:rsid w:val="002C5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A9C"/>
    <w:rPr>
      <w:sz w:val="16"/>
      <w:vertAlign w:val="superscript"/>
    </w:rPr>
  </w:style>
  <w:style w:type="character" w:customStyle="1" w:styleId="Symbols">
    <w:name w:val="Symbols"/>
    <w:basedOn w:val="DefaultParagraphFont"/>
    <w:rsid w:val="002C5A9C"/>
    <w:rPr>
      <w:rFonts w:ascii="Symbol" w:hAnsi="Symbol"/>
    </w:rPr>
  </w:style>
  <w:style w:type="character" w:customStyle="1" w:styleId="MenuOptions">
    <w:name w:val="Menu Options"/>
    <w:basedOn w:val="DefaultParagraphFont"/>
    <w:rsid w:val="002C5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A9C"/>
    <w:rPr>
      <w:b/>
    </w:rPr>
  </w:style>
  <w:style w:type="character" w:customStyle="1" w:styleId="Underlined">
    <w:name w:val="Underlined"/>
    <w:basedOn w:val="DefaultParagraphFont"/>
    <w:rsid w:val="002C5A9C"/>
    <w:rPr>
      <w:u w:val="single"/>
    </w:rPr>
  </w:style>
  <w:style w:type="paragraph" w:customStyle="1" w:styleId="TableBodyTextRight">
    <w:name w:val="Table Body Text Right"/>
    <w:basedOn w:val="TableBodyText"/>
    <w:rsid w:val="002C5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A9C"/>
    <w:rPr>
      <w:sz w:val="18"/>
    </w:rPr>
  </w:style>
  <w:style w:type="paragraph" w:customStyle="1" w:styleId="BodySmallRight">
    <w:name w:val="Body Small Right"/>
    <w:basedOn w:val="BodyTextRight"/>
    <w:rsid w:val="002C5A9C"/>
    <w:rPr>
      <w:sz w:val="18"/>
      <w:szCs w:val="18"/>
    </w:rPr>
  </w:style>
  <w:style w:type="paragraph" w:customStyle="1" w:styleId="MarginEdition">
    <w:name w:val="Margin Edition"/>
    <w:basedOn w:val="MarginNote"/>
    <w:rsid w:val="002C5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A9C"/>
    <w:rPr>
      <w:sz w:val="2"/>
      <w:szCs w:val="2"/>
    </w:rPr>
  </w:style>
  <w:style w:type="character" w:customStyle="1" w:styleId="Small">
    <w:name w:val="Small"/>
    <w:basedOn w:val="DefaultParagraphFont"/>
    <w:rsid w:val="002C5A9C"/>
    <w:rPr>
      <w:sz w:val="16"/>
    </w:rPr>
  </w:style>
  <w:style w:type="paragraph" w:customStyle="1" w:styleId="WideTable">
    <w:name w:val="Wide Table"/>
    <w:basedOn w:val="Normal"/>
    <w:rsid w:val="002C5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A9C"/>
  </w:style>
  <w:style w:type="paragraph" w:styleId="Quote">
    <w:name w:val="Quote"/>
    <w:basedOn w:val="Heading1"/>
    <w:link w:val="QuoteChar"/>
    <w:qFormat/>
    <w:rsid w:val="002C5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A9C"/>
    <w:pPr>
      <w:pageBreakBefore/>
    </w:pPr>
  </w:style>
  <w:style w:type="paragraph" w:customStyle="1" w:styleId="Border">
    <w:name w:val="Border"/>
    <w:basedOn w:val="Normal"/>
    <w:qFormat/>
    <w:rsid w:val="002C5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A9C"/>
    <w:rPr>
      <w:u w:val="single"/>
    </w:rPr>
  </w:style>
  <w:style w:type="paragraph" w:styleId="BalloonText">
    <w:name w:val="Balloon Text"/>
    <w:basedOn w:val="Normal"/>
    <w:link w:val="BalloonTextChar"/>
    <w:rsid w:val="002C5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A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A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5614</Characters>
  <Application>Microsoft Office Word</Application>
  <DocSecurity>0</DocSecurity>
  <Lines>193</Lines>
  <Paragraphs>118</Paragraphs>
  <ScaleCrop>false</ScaleCrop>
  <Company>Author-it Software Corporation Ltd.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PUAPOLFC022A Prepare and present specialist forensic evidence or opinion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2012-10-11T18:56:00Z</dcterms:created>
  <dcterms:modified xsi:type="dcterms:W3CDTF">2012-10-11T18:56:00Z</dcterms:modified>
</cp:coreProperties>
</file>