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A79" w:rsidP="009F3A79">
      <w:pPr>
        <w:pStyle w:val="Title"/>
      </w:pPr>
      <w:r>
        <w:fldChar w:fldCharType="begin"/>
      </w:r>
      <w:r>
        <w:instrText xml:space="preserve"> TITLE   \* MERGEFORMAT </w:instrText>
      </w:r>
      <w:r>
        <w:fldChar w:fldCharType="separate"/>
      </w:r>
      <w:r>
        <w:t>PUAPOL023B Manage investigations</w:t>
      </w:r>
      <w:r>
        <w:fldChar w:fldCharType="end"/>
      </w:r>
    </w:p>
    <w:p w:rsidR="009F3A79" w:rsidP="009F3A79">
      <w:pPr>
        <w:pStyle w:val="Version"/>
        <w:sectPr w:rsidSect="00A920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0E6" w:rsidP="00A920E6">
      <w:pPr>
        <w:pStyle w:val="SuperHeading"/>
      </w:pPr>
      <w:r w:rsidRPr="00A920E6">
        <w:t>PUAPOL023B Manage investigations</w:t>
      </w:r>
    </w:p>
    <w:p w:rsidR="00000000" w:rsidRPr="00A920E6" w:rsidP="00A920E6">
      <w:pPr>
        <w:pStyle w:val="Heading1"/>
      </w:pPr>
      <w:bookmarkStart w:id="1" w:name="O_312378"/>
      <w:bookmarkEnd w:id="1"/>
      <w:r w:rsidRPr="00A920E6">
        <w:t>Modification History</w:t>
      </w:r>
    </w:p>
    <w:p w:rsidR="00000000" w:rsidRPr="00A920E6" w:rsidP="00A920E6">
      <w:pPr>
        <w:pStyle w:val="Heading1"/>
      </w:pPr>
      <w:bookmarkStart w:id="2" w:name="O_312377"/>
      <w:bookmarkEnd w:id="2"/>
      <w:r w:rsidRPr="00A920E6">
        <w:t>Unit Descriptor</w:t>
      </w:r>
    </w:p>
    <w:p w:rsidR="00000000" w:rsidRPr="00A920E6" w:rsidP="00A920E6">
      <w:pPr>
        <w:pStyle w:val="BodyText"/>
      </w:pPr>
      <w:r w:rsidRPr="00A920E6">
        <w:t>This unit covers the competency to plan, document and allocate resources to manage and review investigations effectively, in accordance with jurisdict</w:t>
      </w:r>
      <w:r w:rsidRPr="00A920E6">
        <w:t>ional law policy and procedures.</w:t>
      </w:r>
    </w:p>
    <w:p w:rsidR="00000000" w:rsidRPr="00A920E6" w:rsidP="00A920E6">
      <w:pPr>
        <w:pStyle w:val="AllowPageBreak"/>
      </w:pPr>
    </w:p>
    <w:p w:rsidR="00000000" w:rsidRPr="00A920E6" w:rsidP="00A920E6">
      <w:pPr>
        <w:pStyle w:val="Heading1"/>
      </w:pPr>
      <w:bookmarkStart w:id="3" w:name="O_312376"/>
      <w:bookmarkEnd w:id="3"/>
      <w:r w:rsidRPr="00A920E6">
        <w:t>Application of the Unit</w:t>
      </w:r>
    </w:p>
    <w:p w:rsidR="00000000" w:rsidRPr="00A920E6" w:rsidP="00A920E6">
      <w:pPr>
        <w:pStyle w:val="BodyText"/>
      </w:pPr>
      <w:r w:rsidRPr="00A920E6">
        <w:t>The application of this unit in the workplace - the environments, complexities and situations involved - will be written during Phase II of the Review of the PUA00 Public Safety Trai</w:t>
      </w:r>
      <w:r w:rsidRPr="00A920E6">
        <w:t>ning Package.</w:t>
      </w:r>
    </w:p>
    <w:p w:rsidR="00000000" w:rsidRPr="00A920E6" w:rsidP="00A920E6">
      <w:pPr>
        <w:pStyle w:val="BodyText"/>
      </w:pPr>
      <w:r w:rsidRPr="00A920E6">
        <w:t>This text will be useful for the purposes of job descriptions, recruitment advice or job analysis; where possible, it will not be too job specific to allow other industries to import it into other Training Packages, where feasible.</w:t>
      </w:r>
    </w:p>
    <w:p w:rsidR="00000000" w:rsidRPr="00A920E6" w:rsidP="00A920E6">
      <w:pPr>
        <w:pStyle w:val="AllowPageBreak"/>
      </w:pPr>
    </w:p>
    <w:p w:rsidR="00000000" w:rsidRPr="00A920E6" w:rsidP="00A920E6">
      <w:pPr>
        <w:pStyle w:val="Heading1"/>
      </w:pPr>
      <w:bookmarkStart w:id="4" w:name="O_312375"/>
      <w:bookmarkEnd w:id="4"/>
      <w:r w:rsidRPr="00A920E6">
        <w:t>Licensing/Regulatory Information</w:t>
      </w:r>
    </w:p>
    <w:p w:rsidR="00000000" w:rsidRPr="00A920E6" w:rsidP="00A920E6">
      <w:pPr>
        <w:pStyle w:val="Heading1"/>
      </w:pPr>
      <w:bookmarkStart w:id="5" w:name="O_312374"/>
      <w:bookmarkEnd w:id="5"/>
      <w:r w:rsidRPr="00A920E6">
        <w:t>Pre-Requisites</w:t>
      </w:r>
    </w:p>
    <w:p w:rsidR="00000000" w:rsidRPr="00A920E6" w:rsidP="00A920E6">
      <w:pPr>
        <w:pStyle w:val="BodyText"/>
      </w:pPr>
      <w:r w:rsidRPr="00A920E6">
        <w:t>Nil</w:t>
      </w:r>
    </w:p>
    <w:p w:rsidR="00000000" w:rsidRPr="00A920E6" w:rsidP="00A920E6">
      <w:pPr>
        <w:pStyle w:val="AllowPageBreak"/>
      </w:pPr>
    </w:p>
    <w:p w:rsidR="00000000" w:rsidRPr="00A920E6" w:rsidP="00A920E6">
      <w:pPr>
        <w:pStyle w:val="Heading1"/>
      </w:pPr>
      <w:bookmarkStart w:id="6" w:name="O_312373"/>
      <w:bookmarkEnd w:id="6"/>
      <w:r w:rsidRPr="00A920E6">
        <w:t>Employability Skills Information</w:t>
      </w:r>
    </w:p>
    <w:p w:rsidR="00000000" w:rsidRPr="00A920E6" w:rsidP="00A920E6">
      <w:pPr>
        <w:pStyle w:val="BodyText"/>
      </w:pPr>
      <w:r w:rsidRPr="00A920E6">
        <w:t>The required outc</w:t>
      </w:r>
      <w:r w:rsidRPr="00A920E6">
        <w:t>omes described in this Unit of Competency contain applicable facets of Employability Skills. The Employability Skills Summary of the qualification in which this Unit of Competency is packaged, will assist in identifying Employability Skill requirements.</w:t>
      </w:r>
    </w:p>
    <w:p w:rsidR="00000000" w:rsidRPr="00A920E6" w:rsidP="00A920E6">
      <w:pPr>
        <w:pStyle w:val="AllowPageBreak"/>
      </w:pPr>
    </w:p>
    <w:p w:rsidR="00000000" w:rsidRPr="00A920E6" w:rsidP="00A920E6">
      <w:pPr>
        <w:pStyle w:val="Heading1"/>
      </w:pPr>
      <w:bookmarkStart w:id="7" w:name="O_312372"/>
      <w:bookmarkEnd w:id="7"/>
      <w:r w:rsidRPr="00A920E6">
        <w:t>Elements and Performance Criteria Pre-Content</w:t>
      </w:r>
    </w:p>
    <w:p w:rsidR="00000000" w:rsidRPr="00A920E6" w:rsidP="00A920E6">
      <w:pPr>
        <w:pStyle w:val="BodyText"/>
      </w:pPr>
      <w:r w:rsidRPr="00A920E6">
        <w:t>Elements describe the essential outcomes of a Unit of Competency.</w:t>
      </w:r>
    </w:p>
    <w:p w:rsidR="00000000" w:rsidRPr="00A920E6" w:rsidP="00A920E6">
      <w:pPr>
        <w:pStyle w:val="BodyText"/>
      </w:pPr>
      <w:r w:rsidRPr="00A920E6">
        <w:t>Performance Criteria describe the required performance needed to demonstrate achievement of the element. Where bold italicised te</w:t>
      </w:r>
      <w:r w:rsidRPr="00A920E6">
        <w:t>xt is used, further information is detailed in the Required Skills and Knowledge and/or the Range Statement. Assessment of performance is to be consistent with the Evidence Guide.</w:t>
      </w:r>
    </w:p>
    <w:p w:rsidR="00000000" w:rsidRPr="00A920E6" w:rsidP="00A920E6">
      <w:pPr>
        <w:pStyle w:val="AllowPageBreak"/>
      </w:pPr>
    </w:p>
    <w:p w:rsidR="00000000" w:rsidRPr="00A920E6" w:rsidP="00A920E6">
      <w:pPr>
        <w:pStyle w:val="Heading1"/>
      </w:pPr>
      <w:bookmarkStart w:id="8" w:name="O_312371"/>
      <w:bookmarkEnd w:id="8"/>
      <w:r w:rsidRPr="00A920E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F3A7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Elements and Performance Criteria</w:t>
            </w:r>
          </w:p>
        </w:tc>
      </w:tr>
      <w:tr w:rsidTr="009F3A7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Performance Criteria</w:t>
            </w:r>
          </w:p>
        </w:tc>
      </w:tr>
      <w:tr w:rsidTr="009F3A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1</w:t>
            </w:r>
          </w:p>
        </w:tc>
        <w:tc>
          <w:tcPr>
            <w:tcW w:w="3000" w:type="dxa"/>
            <w:vMerge w:val="restart"/>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Plan investigations</w:t>
            </w: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1.1</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A plan is prepared which reflects analysis of all available factors to set directions for the investigation</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1.2</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An investigation's aims/objectives are clearly defined to provide operational focus</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1.3</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Risk assessments are conducted to identify investigational opportunities and limitations</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1.4</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A security plan is formulated to address the investigation's security requirements</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1.5</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Investigatory phases and tasks are prioritised to inform the sequence of activities and provide for future review of the investigation process</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1.6</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Methods to achie</w:t>
            </w:r>
            <w:r w:rsidRPr="00A920E6">
              <w:rPr>
                <w:rStyle w:val="SpecialBold"/>
              </w:rPr>
              <w:t>ve the investigation's aims and objectives are selected and authorised in accordance with jurisdictional laws, policies and guidelines</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1.7</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Communication channels are established with appropriate personnel to facilitate contact in the conduct of the operation</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1.8</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A case management system is initiated to facilitate the planning, resolution and review of the investigation</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1.9</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Plans develop</w:t>
            </w:r>
            <w:r w:rsidRPr="00A920E6">
              <w:rPr>
                <w:rStyle w:val="SpecialBold"/>
              </w:rPr>
              <w:t xml:space="preserve">ed are sufficiently flexible and adaptable to accommodate any unforeseen contingencies/issues that may arise </w:t>
            </w:r>
          </w:p>
        </w:tc>
      </w:tr>
      <w:tr w:rsidTr="009F3A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2</w:t>
            </w:r>
          </w:p>
        </w:tc>
        <w:tc>
          <w:tcPr>
            <w:tcW w:w="3000" w:type="dxa"/>
            <w:vMerge w:val="restart"/>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Prepare documentation to support the investigation</w:t>
            </w:r>
          </w:p>
        </w:tc>
        <w:tc>
          <w:tcPr>
            <w:tcW w:w="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2.1</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 xml:space="preserve">All relevant information is recorded in a timely, chronological and accurate manner and </w:t>
            </w:r>
            <w:r w:rsidRPr="00A920E6">
              <w:t>complies with organisational guidelines</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2.2</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 xml:space="preserve">Operational documentation </w:t>
            </w:r>
            <w:r w:rsidRPr="00A920E6">
              <w:t>is compiled to provide an ongoing reference for operatives and a formal record for evidentiary purposes</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2.3</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 xml:space="preserve">Recording procedures </w:t>
            </w:r>
            <w:r w:rsidRPr="00A920E6">
              <w:t xml:space="preserve">comply with security and </w:t>
            </w:r>
            <w:r w:rsidRPr="00A920E6">
              <w:t>evidentiary requirements</w:t>
            </w:r>
          </w:p>
        </w:tc>
      </w:tr>
      <w:tr w:rsidTr="009F3A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3</w:t>
            </w:r>
          </w:p>
        </w:tc>
        <w:tc>
          <w:tcPr>
            <w:tcW w:w="3000" w:type="dxa"/>
            <w:vMerge w:val="restart"/>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Identify, use and coordinate resources</w:t>
            </w:r>
          </w:p>
        </w:tc>
        <w:tc>
          <w:tcPr>
            <w:tcW w:w="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3.1</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 xml:space="preserve">Available </w:t>
            </w:r>
            <w:r w:rsidRPr="00A920E6">
              <w:rPr>
                <w:rStyle w:val="SpecialBold"/>
              </w:rPr>
              <w:t xml:space="preserve">resource requirements </w:t>
            </w:r>
            <w:r w:rsidRPr="00A920E6">
              <w:t>are identified and accessed to support the operation</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3.2</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Contingency responses are identified that address any resource limitations</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3.3</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Resource usage is managed to achieve the desired aim</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3.4</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Operational costs are monitored and controlled</w:t>
            </w:r>
          </w:p>
        </w:tc>
      </w:tr>
      <w:tr w:rsidTr="009F3A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4</w:t>
            </w:r>
          </w:p>
        </w:tc>
        <w:tc>
          <w:tcPr>
            <w:tcW w:w="3000" w:type="dxa"/>
            <w:vMerge w:val="restart"/>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Review investigations</w:t>
            </w:r>
          </w:p>
        </w:tc>
        <w:tc>
          <w:tcPr>
            <w:tcW w:w="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4.1</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Investigation outcomes are reviewed against the aims and objectives specified in the investigation plan</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4.2</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Procedur</w:t>
            </w:r>
            <w:r w:rsidRPr="00A920E6">
              <w:t>es are reviewed for adherence to organisational policy and guidelines</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4.3</w:t>
            </w:r>
          </w:p>
        </w:tc>
        <w:tc>
          <w:tcPr>
            <w:tcW w:w="51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Post investigation procedures are completed to finalise the investigation</w:t>
            </w:r>
          </w:p>
        </w:tc>
      </w:tr>
      <w:tr w:rsidTr="009F3A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4.4</w:t>
            </w:r>
          </w:p>
        </w:tc>
        <w:tc>
          <w:tcPr>
            <w:tcW w:w="51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Review outcomes are disseminated and where relevant used to inform future practice</w:t>
            </w:r>
          </w:p>
        </w:tc>
      </w:tr>
    </w:tbl>
    <w:p w:rsidR="00000000" w:rsidRPr="00A920E6" w:rsidP="00A920E6">
      <w:pPr>
        <w:pStyle w:val="BodyText"/>
      </w:pPr>
    </w:p>
    <w:p w:rsidR="00000000" w:rsidRPr="00A920E6" w:rsidP="00A920E6">
      <w:pPr>
        <w:pStyle w:val="AllowPageBreak"/>
      </w:pPr>
    </w:p>
    <w:p w:rsidR="00000000" w:rsidRPr="00A920E6" w:rsidP="00A920E6">
      <w:pPr>
        <w:pStyle w:val="Heading1"/>
      </w:pPr>
      <w:bookmarkStart w:id="9" w:name="O_312370"/>
      <w:bookmarkEnd w:id="9"/>
      <w:r w:rsidRPr="00A920E6">
        <w:t>Required Skills and Knowledge</w:t>
      </w:r>
    </w:p>
    <w:tbl>
      <w:tblPr>
        <w:tblW w:w="0" w:type="auto"/>
        <w:tblLayout w:type="fixed"/>
        <w:tblCellMar>
          <w:left w:w="62" w:type="dxa"/>
          <w:right w:w="62" w:type="dxa"/>
        </w:tblCellMar>
        <w:tblLook w:val="0000"/>
      </w:tblPr>
      <w:tblGrid>
        <w:gridCol w:w="9000"/>
      </w:tblGrid>
      <w:tr w:rsidTr="009F3A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p>
        </w:tc>
      </w:tr>
      <w:tr w:rsidTr="009F3A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 xml:space="preserve">This describes the essential skills and knowledge and their level, required for this unit. </w:t>
            </w:r>
          </w:p>
        </w:tc>
      </w:tr>
      <w:tr w:rsidTr="009F3A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Required Skills</w:t>
            </w:r>
          </w:p>
        </w:tc>
      </w:tr>
      <w:tr w:rsidTr="009F3A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oral communication (listening, establishing rapport, negotiation, conflict resolution)</w:t>
            </w:r>
          </w:p>
          <w:p w:rsidR="00000000" w:rsidRPr="00A920E6" w:rsidP="00A920E6">
            <w:pPr>
              <w:pStyle w:val="BodyText"/>
            </w:pPr>
            <w:r w:rsidRPr="00A920E6">
              <w:t>written communication in preparing investigation plans, tactical plans resource bids etc</w:t>
            </w:r>
          </w:p>
          <w:p w:rsidR="00000000" w:rsidRPr="00A920E6" w:rsidP="00A920E6">
            <w:pPr>
              <w:pStyle w:val="BodyText"/>
            </w:pPr>
            <w:r w:rsidRPr="00A920E6">
              <w:t>basic resource management including budgetary, human and physical resources and allocation/access</w:t>
            </w:r>
          </w:p>
          <w:p w:rsidR="00000000" w:rsidP="00A920E6">
            <w:pPr>
              <w:pStyle w:val="BodyText"/>
              <w:rPr>
                <w:lang w:val="en-NZ"/>
              </w:rPr>
            </w:pPr>
            <w:r w:rsidRPr="00A920E6">
              <w:t xml:space="preserve">basic investigation methods and skills </w:t>
            </w:r>
          </w:p>
        </w:tc>
      </w:tr>
      <w:tr w:rsidTr="009F3A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Required Knowledge</w:t>
            </w:r>
          </w:p>
        </w:tc>
      </w:tr>
      <w:tr w:rsidTr="009F3A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governme</w:t>
            </w:r>
            <w:r w:rsidRPr="00A920E6">
              <w:t>nt and policy environments within which operations will be managed</w:t>
            </w:r>
          </w:p>
          <w:p w:rsidR="00000000" w:rsidRPr="00A920E6" w:rsidP="00A920E6">
            <w:pPr>
              <w:pStyle w:val="BodyText"/>
            </w:pPr>
            <w:r w:rsidRPr="00A920E6">
              <w:t>different types of criminal activity and their elements (eg. general crime, theft, burglary, assault, drugs, fraud, homicide)</w:t>
            </w:r>
          </w:p>
          <w:p w:rsidR="00000000" w:rsidRPr="00A920E6" w:rsidP="00A920E6">
            <w:pPr>
              <w:pStyle w:val="BodyText"/>
            </w:pPr>
            <w:r w:rsidRPr="00A920E6">
              <w:t>available resources which may need to be deployed to support th</w:t>
            </w:r>
            <w:r w:rsidRPr="00A920E6">
              <w:t>e investigation</w:t>
            </w:r>
          </w:p>
          <w:p w:rsidR="00000000" w:rsidRPr="00A920E6" w:rsidP="00A920E6">
            <w:pPr>
              <w:pStyle w:val="BodyText"/>
            </w:pPr>
            <w:r w:rsidRPr="00A920E6">
              <w:t>security issues and classifications</w:t>
            </w:r>
          </w:p>
          <w:p w:rsidR="00000000" w:rsidRPr="00A920E6" w:rsidP="00A920E6">
            <w:pPr>
              <w:pStyle w:val="BodyText"/>
            </w:pPr>
            <w:r w:rsidRPr="00A920E6">
              <w:t>all applicable laws, policy and procedures pertaining to the conduct of investigations within the officer's organisational environment</w:t>
            </w:r>
          </w:p>
          <w:p w:rsidR="00000000" w:rsidRPr="00A920E6" w:rsidP="00A920E6">
            <w:pPr>
              <w:pStyle w:val="BodyText"/>
            </w:pPr>
            <w:r w:rsidRPr="00A920E6">
              <w:t>investigation principles and case management systems and a range of c</w:t>
            </w:r>
            <w:r w:rsidRPr="00A920E6">
              <w:t>ontexts in which these can be applied</w:t>
            </w:r>
          </w:p>
          <w:p w:rsidR="00000000" w:rsidP="00A920E6">
            <w:pPr>
              <w:pStyle w:val="BodyText"/>
              <w:rPr>
                <w:lang w:val="en-NZ"/>
              </w:rPr>
            </w:pPr>
            <w:r w:rsidRPr="00A920E6">
              <w:t xml:space="preserve">court procedures and evidentiary requirements </w:t>
            </w:r>
          </w:p>
        </w:tc>
      </w:tr>
      <w:tr w:rsidTr="009F3A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920E6" w:rsidP="00A920E6">
            <w:pPr>
              <w:pStyle w:val="BodyText"/>
            </w:pPr>
          </w:p>
        </w:tc>
      </w:tr>
    </w:tbl>
    <w:p w:rsidR="00000000" w:rsidRPr="00A920E6" w:rsidP="00A920E6">
      <w:pPr>
        <w:pStyle w:val="BodyText"/>
      </w:pPr>
    </w:p>
    <w:p w:rsidR="00000000" w:rsidRPr="00A920E6" w:rsidP="00A920E6">
      <w:pPr>
        <w:pStyle w:val="AllowPageBreak"/>
      </w:pPr>
    </w:p>
    <w:p w:rsidR="00000000" w:rsidRPr="00A920E6" w:rsidP="00A920E6">
      <w:pPr>
        <w:pStyle w:val="Heading1"/>
      </w:pPr>
      <w:bookmarkStart w:id="10" w:name="O_312368"/>
      <w:bookmarkEnd w:id="10"/>
      <w:r w:rsidRPr="00A920E6">
        <w:t>Evidence Guide</w:t>
      </w:r>
    </w:p>
    <w:tbl>
      <w:tblPr>
        <w:tblW w:w="0" w:type="auto"/>
        <w:tblLayout w:type="fixed"/>
        <w:tblCellMar>
          <w:left w:w="62" w:type="dxa"/>
          <w:right w:w="62" w:type="dxa"/>
        </w:tblCellMar>
        <w:tblLook w:val="0000"/>
      </w:tblPr>
      <w:tblGrid>
        <w:gridCol w:w="4500"/>
        <w:gridCol w:w="4500"/>
      </w:tblGrid>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It is essential for this uni</w:t>
            </w:r>
            <w:r w:rsidRPr="00A920E6">
              <w:t>t that competence be demonstrated in planning of all resources, consistent with the objectives of the investigation; and ability to monitor the investigation and modify the investigation process when necessary</w:t>
            </w:r>
          </w:p>
          <w:p w:rsidR="00000000" w:rsidRPr="00A920E6" w:rsidP="00A920E6">
            <w:pPr>
              <w:pStyle w:val="BodyText"/>
            </w:pPr>
            <w:r w:rsidRPr="00A920E6">
              <w:rPr>
                <w:rStyle w:val="SpecialBold"/>
              </w:rPr>
              <w:t>Consistency in performance</w:t>
            </w:r>
          </w:p>
          <w:p w:rsidR="00000000" w:rsidP="00A920E6">
            <w:pPr>
              <w:pStyle w:val="BodyText"/>
              <w:rPr>
                <w:lang w:val="en-NZ"/>
              </w:rPr>
            </w:pPr>
            <w:r w:rsidRPr="00A920E6">
              <w:t>Evidence for compet</w:t>
            </w:r>
            <w:r w:rsidRPr="00A920E6">
              <w:t xml:space="preserve">ency in this unit must be gathered over time and in a range of workplace or simulated situations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rPr>
                <w:rStyle w:val="SpecialBold"/>
              </w:rPr>
              <w:t>Context of assessment</w:t>
            </w:r>
          </w:p>
          <w:p w:rsidR="00000000" w:rsidRPr="00A920E6" w:rsidP="00A920E6">
            <w:pPr>
              <w:pStyle w:val="BodyText"/>
            </w:pPr>
            <w:r w:rsidRPr="00A920E6">
              <w:t>Evidence should be gathered over a period of time in a range of actual or simulated wo</w:t>
            </w:r>
            <w:r w:rsidRPr="00A920E6">
              <w:t>rkplace environments</w:t>
            </w:r>
          </w:p>
          <w:p w:rsidR="00000000" w:rsidRPr="00A920E6" w:rsidP="00A920E6">
            <w:pPr>
              <w:pStyle w:val="BodyText"/>
            </w:pPr>
            <w:r w:rsidRPr="00A920E6">
              <w:rPr>
                <w:rStyle w:val="SpecialBold"/>
              </w:rPr>
              <w:t>Specific resources for assessment</w:t>
            </w:r>
          </w:p>
          <w:p w:rsidR="00000000" w:rsidP="00A920E6">
            <w:pPr>
              <w:pStyle w:val="BodyText"/>
              <w:rPr>
                <w:lang w:val="en-NZ"/>
              </w:rPr>
            </w:pPr>
            <w:r w:rsidRPr="00A920E6">
              <w:t xml:space="preserve">No special requirements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Information that will assist or guide assessment will be written during Phase II of the Review of the PUA00 Public Safety Training Package.</w:t>
            </w:r>
            <w:r w:rsidRPr="00A920E6">
              <w:t xml:space="preserve"> </w:t>
            </w:r>
          </w:p>
        </w:tc>
      </w:tr>
    </w:tbl>
    <w:p w:rsidR="00000000" w:rsidRPr="00A920E6" w:rsidP="00A920E6">
      <w:pPr>
        <w:pStyle w:val="BodyText"/>
      </w:pPr>
    </w:p>
    <w:p w:rsidR="00000000" w:rsidRPr="00A920E6" w:rsidP="00A920E6">
      <w:pPr>
        <w:pStyle w:val="AllowPageBreak"/>
      </w:pPr>
    </w:p>
    <w:p w:rsidR="00000000" w:rsidRPr="00A920E6" w:rsidP="00A920E6">
      <w:pPr>
        <w:pStyle w:val="Heading1"/>
      </w:pPr>
      <w:bookmarkStart w:id="11" w:name="O_312369"/>
      <w:bookmarkEnd w:id="11"/>
      <w:r w:rsidRPr="00A920E6">
        <w:t>Range Statement</w:t>
      </w:r>
    </w:p>
    <w:tbl>
      <w:tblPr>
        <w:tblW w:w="0" w:type="auto"/>
        <w:tblLayout w:type="fixed"/>
        <w:tblCellMar>
          <w:left w:w="62" w:type="dxa"/>
          <w:right w:w="62" w:type="dxa"/>
        </w:tblCellMar>
        <w:tblLook w:val="0000"/>
      </w:tblPr>
      <w:tblGrid>
        <w:gridCol w:w="4500"/>
        <w:gridCol w:w="4500"/>
      </w:tblGrid>
      <w:tr w:rsidTr="009F3A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RANGE STATEMENT</w:t>
            </w:r>
          </w:p>
        </w:tc>
      </w:tr>
      <w:tr w:rsidTr="009F3A7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 xml:space="preserve">The Range Statement relates to the Unit of Competency as a whole. It allows for different work environments and situations that may affect performance. </w:t>
            </w:r>
            <w:r w:rsidRPr="00A920E6">
              <w:rPr>
                <w:rStyle w:val="SpecialBold"/>
              </w:rPr>
              <w:t>Bold italicised</w:t>
            </w:r>
            <w:r w:rsidRPr="00A920E6">
              <w:t xml:space="preserve"> wording in the Performance Criteria is detailed below.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Factors may include</w:t>
            </w:r>
          </w:p>
        </w:tc>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any information which impacts on the formulation of the investigation plan</w:t>
            </w:r>
          </w:p>
          <w:p w:rsidR="00000000" w:rsidRPr="00A920E6" w:rsidP="00A920E6">
            <w:pPr>
              <w:pStyle w:val="BodyText"/>
            </w:pPr>
            <w:r w:rsidRPr="00A920E6">
              <w:t>topography</w:t>
            </w:r>
          </w:p>
          <w:p w:rsidR="00000000" w:rsidRPr="00A920E6" w:rsidP="00A920E6">
            <w:pPr>
              <w:pStyle w:val="BodyText"/>
            </w:pPr>
            <w:r w:rsidRPr="00A920E6">
              <w:t>climatic conditions</w:t>
            </w:r>
          </w:p>
          <w:p w:rsidR="00000000" w:rsidRPr="00A920E6" w:rsidP="00A920E6">
            <w:pPr>
              <w:pStyle w:val="BodyText"/>
            </w:pPr>
            <w:r w:rsidRPr="00A920E6">
              <w:t>political sensitivities</w:t>
            </w:r>
          </w:p>
          <w:p w:rsidR="00000000" w:rsidRPr="00A920E6" w:rsidP="00A920E6">
            <w:pPr>
              <w:pStyle w:val="BodyText"/>
            </w:pPr>
            <w:r w:rsidRPr="00A920E6">
              <w:t>time</w:t>
            </w:r>
          </w:p>
          <w:p w:rsidR="00000000" w:rsidRPr="00A920E6" w:rsidP="00A920E6">
            <w:pPr>
              <w:pStyle w:val="BodyText"/>
            </w:pPr>
            <w:r w:rsidRPr="00A920E6">
              <w:t>own resources</w:t>
            </w:r>
          </w:p>
          <w:p w:rsidR="00000000" w:rsidRPr="00A920E6" w:rsidP="00A920E6">
            <w:pPr>
              <w:pStyle w:val="BodyText"/>
            </w:pPr>
            <w:r w:rsidRPr="00A920E6">
              <w:t>subject's resources</w:t>
            </w:r>
          </w:p>
          <w:p w:rsidR="00000000" w:rsidRPr="00A920E6" w:rsidP="00A920E6">
            <w:pPr>
              <w:pStyle w:val="BodyText"/>
            </w:pPr>
            <w:r w:rsidRPr="00A920E6">
              <w:t>age</w:t>
            </w:r>
          </w:p>
          <w:p w:rsidR="00000000" w:rsidRPr="00A920E6" w:rsidP="00A920E6">
            <w:pPr>
              <w:pStyle w:val="BodyText"/>
            </w:pPr>
            <w:r w:rsidRPr="00A920E6">
              <w:t>culture or mental capacity of subject/witnesses</w:t>
            </w:r>
          </w:p>
          <w:p w:rsidR="00000000" w:rsidRPr="00A920E6" w:rsidP="00A920E6">
            <w:pPr>
              <w:pStyle w:val="BodyText"/>
            </w:pPr>
            <w:r w:rsidRPr="00A920E6">
              <w:t>own courses of action</w:t>
            </w:r>
          </w:p>
          <w:p w:rsidR="00000000" w:rsidRPr="00A920E6" w:rsidP="00A920E6">
            <w:pPr>
              <w:pStyle w:val="BodyText"/>
            </w:pPr>
            <w:r w:rsidRPr="00A920E6">
              <w:t>subject's likely course(s) of action</w:t>
            </w:r>
          </w:p>
          <w:p w:rsidR="00000000" w:rsidP="00A920E6">
            <w:pPr>
              <w:pStyle w:val="BodyText"/>
              <w:rPr>
                <w:lang w:val="en-NZ"/>
              </w:rPr>
            </w:pPr>
            <w:r w:rsidRPr="00A920E6">
              <w:t xml:space="preserve">cost-benefit analysis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Investigations may include</w:t>
            </w:r>
          </w:p>
        </w:tc>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Operations</w:t>
            </w:r>
          </w:p>
          <w:p w:rsidR="00000000" w:rsidP="00A920E6">
            <w:pPr>
              <w:pStyle w:val="BodyText"/>
              <w:rPr>
                <w:lang w:val="en-NZ"/>
              </w:rPr>
            </w:pPr>
            <w:r w:rsidRPr="00A920E6">
              <w:t xml:space="preserve">criminal and/or coronial investigations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Investigation aims</w:t>
            </w:r>
            <w:r w:rsidRPr="00A920E6">
              <w:t>/</w:t>
            </w:r>
            <w:r w:rsidRPr="00A920E6">
              <w:rPr>
                <w:rStyle w:val="SpecialBold"/>
              </w:rPr>
              <w:t>objectives may include</w:t>
            </w:r>
          </w:p>
        </w:tc>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apprehension and arrest of offenders</w:t>
            </w:r>
          </w:p>
          <w:p w:rsidR="00000000" w:rsidRPr="00A920E6" w:rsidP="00A920E6">
            <w:pPr>
              <w:pStyle w:val="BodyText"/>
            </w:pPr>
            <w:r w:rsidRPr="00A920E6">
              <w:t>investigation to logical conclusion</w:t>
            </w:r>
          </w:p>
          <w:p w:rsidR="00000000" w:rsidRPr="00A920E6" w:rsidP="00A920E6">
            <w:pPr>
              <w:pStyle w:val="BodyText"/>
            </w:pPr>
            <w:r w:rsidRPr="00A920E6">
              <w:t>to exclude suspects</w:t>
            </w:r>
          </w:p>
          <w:p w:rsidR="00000000" w:rsidP="00A920E6">
            <w:pPr>
              <w:pStyle w:val="BodyText"/>
              <w:rPr>
                <w:lang w:val="en-NZ"/>
              </w:rPr>
            </w:pPr>
            <w:r w:rsidRPr="00A920E6">
              <w:t xml:space="preserve">satisfy the coroner and provide material to assist the prosecution's case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Investigational methods may include</w:t>
            </w:r>
          </w:p>
        </w:tc>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general (public inquiries, informant /witness inqui</w:t>
            </w:r>
            <w:r w:rsidRPr="00A920E6">
              <w:t>ries, internal or external agencies)</w:t>
            </w:r>
          </w:p>
          <w:p w:rsidR="00000000" w:rsidP="00A920E6">
            <w:pPr>
              <w:pStyle w:val="BodyText"/>
              <w:rPr>
                <w:lang w:val="en-NZ"/>
              </w:rPr>
            </w:pPr>
            <w:r w:rsidRPr="00A920E6">
              <w:t xml:space="preserve">specialised (covert policing, technical aids, surveillance, forensic evidence, document analysis)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The case management system adopted is that</w:t>
            </w:r>
          </w:p>
        </w:tc>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 xml:space="preserve">defined by the organisation's operational practices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 xml:space="preserve">Operational documents </w:t>
            </w:r>
            <w:r w:rsidRPr="00A920E6">
              <w:rPr>
                <w:rStyle w:val="SpecialBold"/>
              </w:rPr>
              <w:t>may include</w:t>
            </w:r>
          </w:p>
        </w:tc>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tactical appreciations</w:t>
            </w:r>
          </w:p>
          <w:p w:rsidR="00000000" w:rsidRPr="00A920E6" w:rsidP="00A920E6">
            <w:pPr>
              <w:pStyle w:val="BodyText"/>
            </w:pPr>
            <w:r w:rsidRPr="00A920E6">
              <w:t>operational orders</w:t>
            </w:r>
          </w:p>
          <w:p w:rsidR="00000000" w:rsidRPr="00A920E6" w:rsidP="00A920E6">
            <w:pPr>
              <w:pStyle w:val="BodyText"/>
            </w:pPr>
            <w:r w:rsidRPr="00A920E6">
              <w:t>warrant applications</w:t>
            </w:r>
          </w:p>
          <w:p w:rsidR="00000000" w:rsidRPr="00A920E6" w:rsidP="00A920E6">
            <w:pPr>
              <w:pStyle w:val="BodyText"/>
            </w:pPr>
            <w:r w:rsidRPr="00A920E6">
              <w:t>briefing notes running sheets</w:t>
            </w:r>
          </w:p>
          <w:p w:rsidR="00000000" w:rsidRPr="00A920E6" w:rsidP="00A920E6">
            <w:pPr>
              <w:pStyle w:val="BodyText"/>
            </w:pPr>
            <w:r w:rsidRPr="00A920E6">
              <w:t>investigational plans</w:t>
            </w:r>
          </w:p>
          <w:p w:rsidR="00000000" w:rsidRPr="00A920E6" w:rsidP="00A920E6">
            <w:pPr>
              <w:pStyle w:val="BodyText"/>
            </w:pPr>
            <w:r w:rsidRPr="00A920E6">
              <w:t>SOPs</w:t>
            </w:r>
          </w:p>
          <w:p w:rsidR="00000000" w:rsidRPr="00A920E6" w:rsidP="00A920E6">
            <w:pPr>
              <w:pStyle w:val="BodyText"/>
            </w:pPr>
            <w:r w:rsidRPr="00A920E6">
              <w:t>terms of reference</w:t>
            </w:r>
          </w:p>
          <w:p w:rsidR="00000000" w:rsidRPr="00A920E6" w:rsidP="00A920E6">
            <w:pPr>
              <w:pStyle w:val="BodyText"/>
            </w:pPr>
            <w:r w:rsidRPr="00A920E6">
              <w:t>memoranda of understanding</w:t>
            </w:r>
          </w:p>
          <w:p w:rsidR="00000000" w:rsidRPr="00A920E6" w:rsidP="00A920E6">
            <w:pPr>
              <w:pStyle w:val="BodyText"/>
            </w:pPr>
            <w:r w:rsidRPr="00A920E6">
              <w:t>declarations of major crime</w:t>
            </w:r>
          </w:p>
          <w:p w:rsidR="00000000" w:rsidRPr="00A920E6" w:rsidP="00A920E6">
            <w:pPr>
              <w:pStyle w:val="BodyText"/>
            </w:pPr>
            <w:r w:rsidRPr="00A920E6">
              <w:t>target profiles</w:t>
            </w:r>
          </w:p>
          <w:p w:rsidR="00000000" w:rsidRPr="00A920E6" w:rsidP="00A920E6">
            <w:pPr>
              <w:pStyle w:val="BodyText"/>
            </w:pPr>
            <w:r w:rsidRPr="00A920E6">
              <w:t>affidavits</w:t>
            </w:r>
          </w:p>
          <w:p w:rsidR="00000000" w:rsidRPr="00A920E6" w:rsidP="00A920E6">
            <w:pPr>
              <w:pStyle w:val="BodyText"/>
            </w:pPr>
            <w:r w:rsidRPr="00A920E6">
              <w:t>progress reports</w:t>
            </w:r>
          </w:p>
          <w:p w:rsidR="00000000" w:rsidRPr="00A920E6" w:rsidP="00A920E6">
            <w:pPr>
              <w:pStyle w:val="BodyText"/>
            </w:pPr>
            <w:r w:rsidRPr="00A920E6">
              <w:t>investigation log</w:t>
            </w:r>
          </w:p>
          <w:p w:rsidR="00000000" w:rsidRPr="00A920E6" w:rsidP="00A920E6">
            <w:pPr>
              <w:pStyle w:val="BodyText"/>
            </w:pPr>
            <w:r w:rsidRPr="00A920E6">
              <w:t>incident log</w:t>
            </w:r>
          </w:p>
          <w:p w:rsidR="00000000" w:rsidRPr="00A920E6" w:rsidP="00A920E6">
            <w:pPr>
              <w:pStyle w:val="BodyText"/>
            </w:pPr>
            <w:r w:rsidRPr="00A920E6">
              <w:t>joint agency investigation agreements,</w:t>
            </w:r>
          </w:p>
          <w:p w:rsidR="00000000" w:rsidRPr="00A920E6" w:rsidP="00A920E6">
            <w:pPr>
              <w:pStyle w:val="BodyText"/>
            </w:pPr>
            <w:r w:rsidRPr="00A920E6">
              <w:t>crime reporting system documents</w:t>
            </w:r>
          </w:p>
          <w:p w:rsidR="00000000" w:rsidP="00A920E6">
            <w:pPr>
              <w:pStyle w:val="BodyText"/>
              <w:rPr>
                <w:lang w:val="en-NZ"/>
              </w:rPr>
            </w:pPr>
            <w:r w:rsidRPr="00A920E6">
              <w:t xml:space="preserve">case management system documents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Resource requirements may include</w:t>
            </w:r>
          </w:p>
        </w:tc>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r w:rsidRPr="00A920E6">
              <w:t>human</w:t>
            </w:r>
          </w:p>
          <w:p w:rsidR="00000000" w:rsidRPr="00A920E6" w:rsidP="00A920E6">
            <w:pPr>
              <w:pStyle w:val="BodyText"/>
            </w:pPr>
            <w:r w:rsidRPr="00A920E6">
              <w:t xml:space="preserve">physical </w:t>
            </w:r>
          </w:p>
          <w:p w:rsidR="00000000" w:rsidRPr="00A920E6" w:rsidP="00A920E6">
            <w:pPr>
              <w:pStyle w:val="BodyText"/>
            </w:pPr>
            <w:r w:rsidRPr="00A920E6">
              <w:t>financial</w:t>
            </w:r>
          </w:p>
          <w:p w:rsidR="00000000" w:rsidP="00A920E6">
            <w:pPr>
              <w:pStyle w:val="BodyText"/>
              <w:rPr>
                <w:lang w:val="en-NZ"/>
              </w:rPr>
            </w:pPr>
            <w:r w:rsidRPr="00A920E6">
              <w:t xml:space="preserve">may be internal or external in origin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Recording procedur</w:t>
            </w:r>
            <w:r w:rsidRPr="00A920E6">
              <w:rPr>
                <w:rStyle w:val="SpecialBold"/>
              </w:rPr>
              <w:t>es can include</w:t>
            </w:r>
          </w:p>
        </w:tc>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 xml:space="preserve">material gathered for the purposes of evidence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Security Plan can be</w:t>
            </w:r>
          </w:p>
        </w:tc>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 xml:space="preserve">any plan to ensure the integrity of the investigation </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rPr>
                <w:rStyle w:val="SpecialBold"/>
              </w:rPr>
              <w:t>An operational plan may include</w:t>
            </w:r>
          </w:p>
        </w:tc>
        <w:tc>
          <w:tcPr>
            <w:tcW w:w="4500" w:type="dxa"/>
            <w:tcBorders>
              <w:top w:val="nil"/>
              <w:left w:val="nil"/>
              <w:bottom w:val="nil"/>
              <w:right w:val="nil"/>
            </w:tcBorders>
            <w:tcMar>
              <w:top w:w="0" w:type="dxa"/>
              <w:left w:w="62" w:type="dxa"/>
              <w:bottom w:w="0" w:type="dxa"/>
              <w:right w:w="62" w:type="dxa"/>
            </w:tcMar>
          </w:tcPr>
          <w:p w:rsidR="00000000" w:rsidP="00A920E6">
            <w:pPr>
              <w:pStyle w:val="BodyText"/>
              <w:rPr>
                <w:lang w:val="en-NZ"/>
              </w:rPr>
            </w:pPr>
            <w:r w:rsidRPr="00A920E6">
              <w:t>resource requirements</w:t>
            </w:r>
          </w:p>
        </w:tc>
      </w:tr>
      <w:tr w:rsidTr="009F3A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920E6" w:rsidP="00A920E6">
            <w:pPr>
              <w:pStyle w:val="BodyText"/>
            </w:pPr>
          </w:p>
        </w:tc>
      </w:tr>
    </w:tbl>
    <w:p w:rsidR="00000000" w:rsidRPr="00A920E6" w:rsidP="00A920E6">
      <w:pPr>
        <w:pStyle w:val="BodyText"/>
      </w:pPr>
    </w:p>
    <w:p w:rsidR="00000000" w:rsidRPr="00A920E6" w:rsidP="00A920E6">
      <w:pPr>
        <w:pStyle w:val="AllowPageBreak"/>
      </w:pPr>
    </w:p>
    <w:p w:rsidR="00000000" w:rsidRPr="00A920E6" w:rsidP="00A920E6">
      <w:pPr>
        <w:pStyle w:val="Heading1"/>
      </w:pPr>
      <w:bookmarkStart w:id="12" w:name="O_312379"/>
      <w:bookmarkEnd w:id="12"/>
      <w:r w:rsidRPr="00A920E6">
        <w:t>Unit Sector(s)</w:t>
      </w:r>
    </w:p>
    <w:p w:rsidR="00000000" w:rsidRPr="00A920E6" w:rsidP="00A920E6"/>
    <w:sectPr w:rsidSect="00A920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A79" w:rsidP="009F3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79" w:rsidP="00A920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F3A79" w:rsidP="00A920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F3A79" w:rsidP="00A920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A79" w:rsidP="009F3A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79" w:rsidP="00A920E6">
    <w:pPr>
      <w:pStyle w:val="Header"/>
      <w:framePr w:wrap="around"/>
    </w:pPr>
    <w:r>
      <w:fldChar w:fldCharType="begin"/>
    </w:r>
    <w:r>
      <w:instrText xml:space="preserve"> TITLE   \* MERGEFORMAT </w:instrText>
    </w:r>
    <w:r>
      <w:fldChar w:fldCharType="separate"/>
    </w:r>
    <w:r>
      <w:t>PUAPOL023B Manage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3A79" w:rsidP="00A920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0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20E6"/>
    <w:pPr>
      <w:spacing w:before="360" w:after="60"/>
      <w:outlineLvl w:val="0"/>
    </w:pPr>
    <w:rPr>
      <w:sz w:val="32"/>
    </w:rPr>
  </w:style>
  <w:style w:type="paragraph" w:styleId="Heading2">
    <w:name w:val="heading 2"/>
    <w:basedOn w:val="HeadingBase"/>
    <w:next w:val="BodyText"/>
    <w:link w:val="Heading2Char"/>
    <w:qFormat/>
    <w:rsid w:val="00A920E6"/>
    <w:pPr>
      <w:keepLines/>
      <w:spacing w:before="240" w:after="120"/>
      <w:outlineLvl w:val="1"/>
    </w:pPr>
    <w:rPr>
      <w:sz w:val="28"/>
      <w:szCs w:val="40"/>
    </w:rPr>
  </w:style>
  <w:style w:type="paragraph" w:styleId="Heading3">
    <w:name w:val="heading 3"/>
    <w:basedOn w:val="HeadingBase"/>
    <w:next w:val="BodyText"/>
    <w:link w:val="Heading3Char"/>
    <w:qFormat/>
    <w:rsid w:val="00A920E6"/>
    <w:pPr>
      <w:spacing w:before="180" w:after="120"/>
      <w:outlineLvl w:val="2"/>
    </w:pPr>
    <w:rPr>
      <w:spacing w:val="-10"/>
      <w:kern w:val="32"/>
    </w:rPr>
  </w:style>
  <w:style w:type="paragraph" w:styleId="Heading4">
    <w:name w:val="heading 4"/>
    <w:basedOn w:val="HeadingBase"/>
    <w:next w:val="BodyText"/>
    <w:link w:val="Heading4Char"/>
    <w:qFormat/>
    <w:rsid w:val="00A920E6"/>
    <w:pPr>
      <w:spacing w:before="160" w:after="120"/>
      <w:outlineLvl w:val="3"/>
    </w:pPr>
    <w:rPr>
      <w:sz w:val="22"/>
    </w:rPr>
  </w:style>
  <w:style w:type="paragraph" w:styleId="Heading5">
    <w:name w:val="heading 5"/>
    <w:basedOn w:val="HeadingBase"/>
    <w:next w:val="Normal"/>
    <w:link w:val="Heading5Char"/>
    <w:qFormat/>
    <w:rsid w:val="00A920E6"/>
    <w:pPr>
      <w:spacing w:before="80"/>
      <w:outlineLvl w:val="4"/>
    </w:pPr>
    <w:rPr>
      <w:color w:val="918585"/>
      <w:sz w:val="20"/>
    </w:rPr>
  </w:style>
  <w:style w:type="paragraph" w:styleId="Heading6">
    <w:name w:val="heading 6"/>
    <w:basedOn w:val="HeadingBase"/>
    <w:next w:val="Normal"/>
    <w:link w:val="Heading6Char"/>
    <w:qFormat/>
    <w:rsid w:val="00A920E6"/>
    <w:pPr>
      <w:spacing w:before="60"/>
      <w:outlineLvl w:val="5"/>
    </w:pPr>
    <w:rPr>
      <w:color w:val="918585"/>
      <w:sz w:val="20"/>
    </w:rPr>
  </w:style>
  <w:style w:type="paragraph" w:styleId="Heading7">
    <w:name w:val="heading 7"/>
    <w:basedOn w:val="Normal"/>
    <w:next w:val="Normal"/>
    <w:link w:val="Heading7Char"/>
    <w:qFormat/>
    <w:rsid w:val="00A920E6"/>
    <w:pPr>
      <w:ind w:left="720"/>
      <w:outlineLvl w:val="6"/>
    </w:pPr>
    <w:rPr>
      <w:i/>
    </w:rPr>
  </w:style>
  <w:style w:type="paragraph" w:styleId="Heading8">
    <w:name w:val="heading 8"/>
    <w:basedOn w:val="Normal"/>
    <w:next w:val="Normal"/>
    <w:link w:val="Heading8Char"/>
    <w:qFormat/>
    <w:rsid w:val="00A920E6"/>
    <w:pPr>
      <w:ind w:left="720"/>
      <w:outlineLvl w:val="7"/>
    </w:pPr>
    <w:rPr>
      <w:i/>
    </w:rPr>
  </w:style>
  <w:style w:type="paragraph" w:styleId="Heading9">
    <w:name w:val="heading 9"/>
    <w:basedOn w:val="Normal"/>
    <w:next w:val="Normal"/>
    <w:link w:val="Heading9Char"/>
    <w:qFormat/>
    <w:rsid w:val="00A920E6"/>
    <w:pPr>
      <w:ind w:left="720"/>
      <w:outlineLvl w:val="8"/>
    </w:pPr>
    <w:rPr>
      <w:i/>
    </w:rPr>
  </w:style>
  <w:style w:type="character" w:default="1" w:styleId="DefaultParagraphFont">
    <w:name w:val="Default Paragraph Font"/>
    <w:uiPriority w:val="1"/>
    <w:unhideWhenUsed/>
    <w:rsid w:val="00A92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0E6"/>
  </w:style>
  <w:style w:type="character" w:customStyle="1" w:styleId="Heading1Char">
    <w:name w:val="Heading 1 Char"/>
    <w:basedOn w:val="DefaultParagraphFont"/>
    <w:link w:val="Heading1"/>
    <w:rsid w:val="00A920E6"/>
    <w:rPr>
      <w:rFonts w:ascii="Times New Roman" w:eastAsia="Times New Roman" w:hAnsi="Times New Roman" w:cs="Times New Roman"/>
      <w:b/>
      <w:sz w:val="32"/>
      <w:szCs w:val="20"/>
      <w:lang w:eastAsia="en-US"/>
    </w:rPr>
  </w:style>
  <w:style w:type="paragraph" w:styleId="BodyText">
    <w:name w:val="Body Text"/>
    <w:basedOn w:val="Normal"/>
    <w:link w:val="BodyTextChar"/>
    <w:rsid w:val="00A920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0E6"/>
    <w:rPr>
      <w:rFonts w:ascii="Times New Roman" w:eastAsia="Times New Roman" w:hAnsi="Times New Roman" w:cs="Times New Roman"/>
      <w:sz w:val="24"/>
      <w:lang w:val="en-US" w:eastAsia="en-US"/>
    </w:rPr>
  </w:style>
  <w:style w:type="paragraph" w:styleId="Footer">
    <w:name w:val="footer"/>
    <w:basedOn w:val="Normal"/>
    <w:link w:val="FooterChar"/>
    <w:rsid w:val="00A92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0E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920E6"/>
    <w:rPr>
      <w:b/>
      <w:spacing w:val="0"/>
    </w:rPr>
  </w:style>
  <w:style w:type="paragraph" w:styleId="Header">
    <w:name w:val="header"/>
    <w:basedOn w:val="Normal"/>
    <w:link w:val="HeaderChar"/>
    <w:rsid w:val="00A92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0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20E6"/>
    <w:pPr>
      <w:spacing w:before="240" w:after="120"/>
      <w:outlineLvl w:val="0"/>
    </w:pPr>
    <w:rPr>
      <w:rFonts w:ascii="Times New Roman" w:hAnsi="Times New Roman"/>
      <w:b/>
      <w:sz w:val="28"/>
    </w:rPr>
  </w:style>
  <w:style w:type="paragraph" w:customStyle="1" w:styleId="AllowPageBreak">
    <w:name w:val="AllowPageBreak"/>
    <w:rsid w:val="00A920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0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20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20E6"/>
    <w:rPr>
      <w:rFonts w:ascii="Courier New" w:eastAsia="Times New Roman" w:hAnsi="Courier New" w:cs="Times New Roman"/>
      <w:i/>
      <w:szCs w:val="20"/>
      <w:lang w:val="en-US" w:eastAsia="en-US"/>
    </w:rPr>
  </w:style>
  <w:style w:type="paragraph" w:customStyle="1" w:styleId="HeadingBase">
    <w:name w:val="Heading Base"/>
    <w:rsid w:val="00A92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0E6"/>
    <w:pPr>
      <w:tabs>
        <w:tab w:val="right" w:leader="dot" w:pos="9072"/>
      </w:tabs>
      <w:ind w:left="567"/>
    </w:pPr>
    <w:rPr>
      <w:szCs w:val="22"/>
    </w:rPr>
  </w:style>
  <w:style w:type="paragraph" w:customStyle="1" w:styleId="TOCBase">
    <w:name w:val="TOC Base"/>
    <w:rsid w:val="00A92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0E6"/>
    <w:pPr>
      <w:tabs>
        <w:tab w:val="right" w:leader="dot" w:pos="9072"/>
      </w:tabs>
      <w:spacing w:before="40" w:after="40"/>
      <w:ind w:left="284"/>
    </w:pPr>
    <w:rPr>
      <w:rFonts w:ascii="Times New Roman" w:hAnsi="Times New Roman"/>
    </w:rPr>
  </w:style>
  <w:style w:type="paragraph" w:styleId="TOC1">
    <w:name w:val="toc 1"/>
    <w:basedOn w:val="TOCBase"/>
    <w:next w:val="Normal"/>
    <w:rsid w:val="00A920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0E6"/>
    <w:pPr>
      <w:spacing w:before="5040"/>
      <w:jc w:val="center"/>
    </w:pPr>
    <w:rPr>
      <w:sz w:val="48"/>
      <w:szCs w:val="72"/>
      <w:lang w:val="en-US"/>
    </w:rPr>
  </w:style>
  <w:style w:type="character" w:customStyle="1" w:styleId="TitleChar">
    <w:name w:val="Title Char"/>
    <w:basedOn w:val="DefaultParagraphFont"/>
    <w:link w:val="Title"/>
    <w:rsid w:val="00A92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0E6"/>
    <w:pPr>
      <w:tabs>
        <w:tab w:val="left" w:pos="3600"/>
        <w:tab w:val="left" w:pos="3958"/>
      </w:tabs>
    </w:pPr>
  </w:style>
  <w:style w:type="paragraph" w:styleId="List">
    <w:name w:val="List"/>
    <w:basedOn w:val="BodyText"/>
    <w:next w:val="BodyText"/>
    <w:rsid w:val="00A920E6"/>
    <w:pPr>
      <w:tabs>
        <w:tab w:val="left" w:pos="340"/>
      </w:tabs>
      <w:spacing w:before="60" w:after="60"/>
      <w:ind w:left="340" w:hanging="340"/>
    </w:pPr>
  </w:style>
  <w:style w:type="paragraph" w:styleId="ListBullet">
    <w:name w:val="List Bullet"/>
    <w:basedOn w:val="List"/>
    <w:rsid w:val="00A920E6"/>
    <w:pPr>
      <w:numPr>
        <w:numId w:val="11"/>
      </w:numPr>
      <w:tabs>
        <w:tab w:val="clear" w:pos="340"/>
      </w:tabs>
      <w:spacing w:before="40" w:after="40"/>
    </w:pPr>
  </w:style>
  <w:style w:type="paragraph" w:customStyle="1" w:styleId="Note">
    <w:name w:val="Note"/>
    <w:basedOn w:val="BodyText"/>
    <w:rsid w:val="00A920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0E6"/>
    <w:pPr>
      <w:framePr w:wrap="auto" w:hAnchor="text" w:y="6049"/>
    </w:pPr>
    <w:rPr>
      <w:color w:val="000000"/>
      <w:sz w:val="40"/>
    </w:rPr>
  </w:style>
  <w:style w:type="paragraph" w:customStyle="1" w:styleId="TOCTitle">
    <w:name w:val="TOCTitle"/>
    <w:basedOn w:val="Heading1"/>
    <w:rsid w:val="00A920E6"/>
    <w:pPr>
      <w:spacing w:after="240"/>
      <w:jc w:val="center"/>
      <w:outlineLvl w:val="9"/>
    </w:pPr>
    <w:rPr>
      <w:caps/>
    </w:rPr>
  </w:style>
  <w:style w:type="paragraph" w:customStyle="1" w:styleId="Version">
    <w:name w:val="Version"/>
    <w:rsid w:val="00A920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20E6"/>
    <w:pPr>
      <w:numPr>
        <w:numId w:val="12"/>
      </w:numPr>
      <w:tabs>
        <w:tab w:val="clear" w:pos="680"/>
      </w:tabs>
    </w:pPr>
  </w:style>
  <w:style w:type="paragraph" w:styleId="Index1">
    <w:name w:val="index 1"/>
    <w:basedOn w:val="Normal"/>
    <w:next w:val="Normal"/>
    <w:semiHidden/>
    <w:rsid w:val="00A920E6"/>
    <w:pPr>
      <w:keepNext w:val="0"/>
      <w:tabs>
        <w:tab w:val="right" w:pos="4176"/>
      </w:tabs>
      <w:ind w:left="198" w:hanging="198"/>
    </w:pPr>
    <w:rPr>
      <w:rFonts w:ascii="Garamond" w:hAnsi="Garamond"/>
    </w:rPr>
  </w:style>
  <w:style w:type="paragraph" w:styleId="IndexHeading">
    <w:name w:val="index heading"/>
    <w:basedOn w:val="Normal"/>
    <w:next w:val="Index1"/>
    <w:semiHidden/>
    <w:rsid w:val="00A920E6"/>
    <w:pPr>
      <w:spacing w:before="120" w:after="120"/>
    </w:pPr>
    <w:rPr>
      <w:rFonts w:ascii="Arial" w:hAnsi="Arial"/>
      <w:b/>
      <w:color w:val="918585"/>
      <w:sz w:val="24"/>
    </w:rPr>
  </w:style>
  <w:style w:type="paragraph" w:customStyle="1" w:styleId="Chapter">
    <w:name w:val="Chapter"/>
    <w:basedOn w:val="Normal"/>
    <w:rsid w:val="00A920E6"/>
    <w:pPr>
      <w:spacing w:before="240"/>
    </w:pPr>
    <w:rPr>
      <w:rFonts w:ascii="Times New Roman" w:hAnsi="Times New Roman"/>
      <w:smallCaps/>
      <w:spacing w:val="80"/>
      <w:sz w:val="28"/>
    </w:rPr>
  </w:style>
  <w:style w:type="paragraph" w:customStyle="1" w:styleId="InChapter">
    <w:name w:val="InChapter"/>
    <w:basedOn w:val="Heading3"/>
    <w:rsid w:val="00A920E6"/>
    <w:pPr>
      <w:spacing w:after="240"/>
      <w:outlineLvl w:val="9"/>
    </w:pPr>
    <w:rPr>
      <w:noProof/>
    </w:rPr>
  </w:style>
  <w:style w:type="paragraph" w:styleId="Index2">
    <w:name w:val="index 2"/>
    <w:basedOn w:val="Normal"/>
    <w:next w:val="Normal"/>
    <w:semiHidden/>
    <w:rsid w:val="00A920E6"/>
    <w:pPr>
      <w:tabs>
        <w:tab w:val="right" w:pos="4176"/>
      </w:tabs>
      <w:ind w:left="568" w:hanging="284"/>
    </w:pPr>
    <w:rPr>
      <w:rFonts w:ascii="Garamond" w:hAnsi="Garamond"/>
    </w:rPr>
  </w:style>
  <w:style w:type="paragraph" w:customStyle="1" w:styleId="Byline">
    <w:name w:val="Byline"/>
    <w:rsid w:val="00A92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0E6"/>
    <w:pPr>
      <w:tabs>
        <w:tab w:val="clear" w:pos="3600"/>
        <w:tab w:val="clear" w:pos="3958"/>
      </w:tabs>
      <w:jc w:val="right"/>
    </w:pPr>
  </w:style>
  <w:style w:type="character" w:styleId="Emphasis">
    <w:name w:val="Emphasis"/>
    <w:basedOn w:val="DefaultParagraphFont"/>
    <w:qFormat/>
    <w:rsid w:val="00A920E6"/>
    <w:rPr>
      <w:i/>
    </w:rPr>
  </w:style>
  <w:style w:type="paragraph" w:styleId="Caption">
    <w:name w:val="caption"/>
    <w:basedOn w:val="BodyText"/>
    <w:next w:val="Normal"/>
    <w:qFormat/>
    <w:rsid w:val="00A920E6"/>
    <w:pPr>
      <w:framePr w:w="2268" w:hSpace="181" w:vSpace="181" w:wrap="around" w:vAnchor="text" w:hAnchor="page" w:x="1135" w:y="285" w:anchorLock="1"/>
    </w:pPr>
    <w:rPr>
      <w:i/>
    </w:rPr>
  </w:style>
  <w:style w:type="paragraph" w:customStyle="1" w:styleId="MiniTOCTitle">
    <w:name w:val="MiniTOCTitle"/>
    <w:basedOn w:val="Heading4"/>
    <w:rsid w:val="00A920E6"/>
    <w:pPr>
      <w:spacing w:before="240"/>
      <w:outlineLvl w:val="9"/>
    </w:pPr>
    <w:rPr>
      <w:noProof/>
      <w:sz w:val="24"/>
    </w:rPr>
  </w:style>
  <w:style w:type="paragraph" w:customStyle="1" w:styleId="MiniTOCItem">
    <w:name w:val="MiniTOCItem"/>
    <w:basedOn w:val="ListBullet"/>
    <w:rsid w:val="00A920E6"/>
    <w:pPr>
      <w:numPr>
        <w:numId w:val="0"/>
      </w:numPr>
      <w:tabs>
        <w:tab w:val="right" w:leader="dot" w:pos="6521"/>
      </w:tabs>
      <w:spacing w:before="0" w:after="0"/>
    </w:pPr>
  </w:style>
  <w:style w:type="paragraph" w:customStyle="1" w:styleId="TOFTitle">
    <w:name w:val="TOFTitle"/>
    <w:basedOn w:val="TOCTitle"/>
    <w:rsid w:val="00A920E6"/>
  </w:style>
  <w:style w:type="paragraph" w:styleId="TableofFigures">
    <w:name w:val="table of figures"/>
    <w:basedOn w:val="Normal"/>
    <w:next w:val="Normal"/>
    <w:semiHidden/>
    <w:rsid w:val="00A920E6"/>
    <w:pPr>
      <w:tabs>
        <w:tab w:val="right" w:leader="dot" w:pos="9072"/>
      </w:tabs>
      <w:ind w:left="970" w:hanging="403"/>
    </w:pPr>
    <w:rPr>
      <w:rFonts w:ascii="Times New Roman" w:hAnsi="Times New Roman"/>
      <w:b/>
    </w:rPr>
  </w:style>
  <w:style w:type="paragraph" w:styleId="ListNumber">
    <w:name w:val="List Number"/>
    <w:basedOn w:val="List"/>
    <w:rsid w:val="00A920E6"/>
    <w:pPr>
      <w:numPr>
        <w:numId w:val="9"/>
      </w:numPr>
    </w:pPr>
  </w:style>
  <w:style w:type="character" w:customStyle="1" w:styleId="WingdingSymbols">
    <w:name w:val="Wingding Symbols"/>
    <w:rsid w:val="00A920E6"/>
    <w:rPr>
      <w:rFonts w:ascii="Wingdings" w:hAnsi="Wingdings"/>
    </w:rPr>
  </w:style>
  <w:style w:type="paragraph" w:customStyle="1" w:styleId="TableHeading">
    <w:name w:val="Table Heading"/>
    <w:basedOn w:val="HeadingBase"/>
    <w:rsid w:val="00A920E6"/>
    <w:pPr>
      <w:keepLines/>
      <w:pBdr>
        <w:bottom w:val="single" w:sz="6" w:space="1" w:color="918585"/>
      </w:pBdr>
      <w:spacing w:before="240"/>
    </w:pPr>
  </w:style>
  <w:style w:type="character" w:customStyle="1" w:styleId="HotSpot">
    <w:name w:val="HotSpot"/>
    <w:rsid w:val="00A920E6"/>
    <w:rPr>
      <w:color w:val="0033CC"/>
      <w:u w:val="none"/>
    </w:rPr>
  </w:style>
  <w:style w:type="paragraph" w:customStyle="1" w:styleId="BodyTextRight">
    <w:name w:val="Body Text Right"/>
    <w:basedOn w:val="BodyText"/>
    <w:rsid w:val="00A920E6"/>
    <w:pPr>
      <w:spacing w:before="0" w:after="0"/>
      <w:jc w:val="right"/>
    </w:pPr>
  </w:style>
  <w:style w:type="paragraph" w:styleId="Index3">
    <w:name w:val="index 3"/>
    <w:basedOn w:val="ListNumber2"/>
    <w:next w:val="Normal"/>
    <w:semiHidden/>
    <w:rsid w:val="00A920E6"/>
    <w:pPr>
      <w:numPr>
        <w:numId w:val="0"/>
      </w:numPr>
      <w:tabs>
        <w:tab w:val="right" w:leader="dot" w:pos="4176"/>
      </w:tabs>
    </w:pPr>
  </w:style>
  <w:style w:type="paragraph" w:styleId="ListNumber2">
    <w:name w:val="List Number 2"/>
    <w:basedOn w:val="List2"/>
    <w:rsid w:val="00A920E6"/>
    <w:pPr>
      <w:numPr>
        <w:numId w:val="8"/>
      </w:numPr>
      <w:tabs>
        <w:tab w:val="clear" w:pos="1060"/>
      </w:tabs>
    </w:pPr>
  </w:style>
  <w:style w:type="paragraph" w:customStyle="1" w:styleId="MarginNote">
    <w:name w:val="Margin Note"/>
    <w:basedOn w:val="BodyText"/>
    <w:rsid w:val="00A92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0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20E6"/>
    <w:rPr>
      <w:sz w:val="32"/>
    </w:rPr>
  </w:style>
  <w:style w:type="paragraph" w:customStyle="1" w:styleId="HeadingProcedure">
    <w:name w:val="Heading Procedure"/>
    <w:basedOn w:val="HeadingBase"/>
    <w:next w:val="Normal"/>
    <w:rsid w:val="00A920E6"/>
    <w:pPr>
      <w:tabs>
        <w:tab w:val="left" w:pos="0"/>
      </w:tabs>
      <w:spacing w:before="120" w:after="60"/>
    </w:pPr>
    <w:rPr>
      <w:i/>
      <w:color w:val="918585"/>
      <w:sz w:val="22"/>
    </w:rPr>
  </w:style>
  <w:style w:type="paragraph" w:customStyle="1" w:styleId="TableBodyText">
    <w:name w:val="Table Body Text"/>
    <w:basedOn w:val="BodyText"/>
    <w:rsid w:val="00A920E6"/>
    <w:pPr>
      <w:spacing w:before="60" w:after="60"/>
    </w:pPr>
  </w:style>
  <w:style w:type="paragraph" w:styleId="ListContinue">
    <w:name w:val="List Continue"/>
    <w:basedOn w:val="List"/>
    <w:rsid w:val="00A920E6"/>
    <w:pPr>
      <w:ind w:firstLine="0"/>
    </w:pPr>
  </w:style>
  <w:style w:type="paragraph" w:customStyle="1" w:styleId="ListNote">
    <w:name w:val="List Note"/>
    <w:basedOn w:val="List"/>
    <w:rsid w:val="00A920E6"/>
    <w:pPr>
      <w:pBdr>
        <w:top w:val="single" w:sz="6" w:space="2" w:color="918585"/>
        <w:bottom w:val="single" w:sz="6" w:space="2" w:color="918585"/>
      </w:pBdr>
      <w:tabs>
        <w:tab w:val="left" w:pos="1021"/>
      </w:tabs>
      <w:ind w:firstLine="0"/>
    </w:pPr>
  </w:style>
  <w:style w:type="paragraph" w:customStyle="1" w:styleId="Warning">
    <w:name w:val="Warning"/>
    <w:basedOn w:val="BodyText"/>
    <w:rsid w:val="00A920E6"/>
    <w:pPr>
      <w:shd w:val="clear" w:color="auto" w:fill="D9D9D9"/>
      <w:tabs>
        <w:tab w:val="left" w:pos="992"/>
      </w:tabs>
      <w:ind w:left="119" w:right="119"/>
    </w:pPr>
    <w:rPr>
      <w:sz w:val="20"/>
    </w:rPr>
  </w:style>
  <w:style w:type="paragraph" w:customStyle="1" w:styleId="MarginIcons">
    <w:name w:val="Margin Icons"/>
    <w:basedOn w:val="BodyText"/>
    <w:rsid w:val="00A92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0E6"/>
    <w:rPr>
      <w:rFonts w:ascii="Courier New" w:hAnsi="Courier New"/>
    </w:rPr>
  </w:style>
  <w:style w:type="paragraph" w:customStyle="1" w:styleId="NoteBullet">
    <w:name w:val="Note Bullet"/>
    <w:basedOn w:val="Note"/>
    <w:rsid w:val="00A920E6"/>
    <w:pPr>
      <w:tabs>
        <w:tab w:val="clear" w:pos="680"/>
      </w:tabs>
      <w:spacing w:before="60" w:after="60"/>
    </w:pPr>
  </w:style>
  <w:style w:type="paragraph" w:customStyle="1" w:styleId="SubHeading2">
    <w:name w:val="SubHeading2"/>
    <w:basedOn w:val="HeadingBase"/>
    <w:rsid w:val="00A920E6"/>
    <w:pPr>
      <w:spacing w:before="240" w:after="60"/>
    </w:pPr>
    <w:rPr>
      <w:sz w:val="20"/>
    </w:rPr>
  </w:style>
  <w:style w:type="paragraph" w:customStyle="1" w:styleId="SubHeading1">
    <w:name w:val="SubHeading1"/>
    <w:basedOn w:val="HeadingBase"/>
    <w:rsid w:val="00A920E6"/>
    <w:pPr>
      <w:spacing w:before="240" w:after="60"/>
    </w:pPr>
    <w:rPr>
      <w:color w:val="918585"/>
      <w:sz w:val="22"/>
    </w:rPr>
  </w:style>
  <w:style w:type="paragraph" w:customStyle="1" w:styleId="SideHeading">
    <w:name w:val="Side Heading"/>
    <w:basedOn w:val="HeadingBase"/>
    <w:rsid w:val="00A92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0E6"/>
    <w:pPr>
      <w:numPr>
        <w:numId w:val="10"/>
      </w:numPr>
    </w:pPr>
  </w:style>
  <w:style w:type="paragraph" w:styleId="PlainText">
    <w:name w:val="Plain Text"/>
    <w:basedOn w:val="Normal"/>
    <w:link w:val="PlainTextChar"/>
    <w:rsid w:val="00A920E6"/>
    <w:rPr>
      <w:sz w:val="20"/>
    </w:rPr>
  </w:style>
  <w:style w:type="character" w:customStyle="1" w:styleId="PlainTextChar">
    <w:name w:val="Plain Text Char"/>
    <w:basedOn w:val="DefaultParagraphFont"/>
    <w:link w:val="PlainText"/>
    <w:rsid w:val="00A920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20E6"/>
    <w:rPr>
      <w:b/>
      <w:smallCaps/>
    </w:rPr>
  </w:style>
  <w:style w:type="paragraph" w:customStyle="1" w:styleId="TableListNumber">
    <w:name w:val="Table List Number"/>
    <w:basedOn w:val="ListNumber"/>
    <w:rsid w:val="00A920E6"/>
    <w:pPr>
      <w:numPr>
        <w:numId w:val="0"/>
      </w:numPr>
    </w:pPr>
  </w:style>
  <w:style w:type="paragraph" w:styleId="TOC4">
    <w:name w:val="toc 4"/>
    <w:basedOn w:val="TOCBase"/>
    <w:next w:val="Normal"/>
    <w:semiHidden/>
    <w:rsid w:val="00A920E6"/>
    <w:pPr>
      <w:tabs>
        <w:tab w:val="right" w:leader="dot" w:pos="9071"/>
      </w:tabs>
      <w:ind w:left="1701"/>
    </w:pPr>
  </w:style>
  <w:style w:type="paragraph" w:customStyle="1" w:styleId="ListAlpha">
    <w:name w:val="List Alpha"/>
    <w:basedOn w:val="List"/>
    <w:rsid w:val="00A920E6"/>
    <w:pPr>
      <w:numPr>
        <w:numId w:val="7"/>
      </w:numPr>
    </w:pPr>
  </w:style>
  <w:style w:type="paragraph" w:customStyle="1" w:styleId="ListAlpha2">
    <w:name w:val="List Alpha 2"/>
    <w:basedOn w:val="List2"/>
    <w:rsid w:val="00A920E6"/>
    <w:pPr>
      <w:numPr>
        <w:numId w:val="6"/>
      </w:numPr>
    </w:pPr>
  </w:style>
  <w:style w:type="paragraph" w:styleId="List2">
    <w:name w:val="List 2"/>
    <w:basedOn w:val="BodyText"/>
    <w:rsid w:val="00A920E6"/>
    <w:pPr>
      <w:tabs>
        <w:tab w:val="left" w:pos="680"/>
      </w:tabs>
      <w:spacing w:before="60" w:after="60"/>
      <w:ind w:left="680" w:hanging="340"/>
    </w:pPr>
  </w:style>
  <w:style w:type="paragraph" w:styleId="List3">
    <w:name w:val="List 3"/>
    <w:basedOn w:val="BodyText"/>
    <w:rsid w:val="00A920E6"/>
    <w:pPr>
      <w:tabs>
        <w:tab w:val="left" w:pos="1021"/>
      </w:tabs>
      <w:spacing w:before="60" w:after="60"/>
      <w:ind w:left="1020" w:hanging="340"/>
    </w:pPr>
  </w:style>
  <w:style w:type="paragraph" w:styleId="List4">
    <w:name w:val="List 4"/>
    <w:basedOn w:val="BodyText"/>
    <w:rsid w:val="00A920E6"/>
    <w:pPr>
      <w:tabs>
        <w:tab w:val="left" w:pos="1361"/>
      </w:tabs>
      <w:spacing w:before="60" w:after="60"/>
      <w:ind w:left="1361" w:hanging="340"/>
    </w:pPr>
  </w:style>
  <w:style w:type="paragraph" w:styleId="List5">
    <w:name w:val="List 5"/>
    <w:basedOn w:val="BodyText"/>
    <w:rsid w:val="00A920E6"/>
    <w:pPr>
      <w:tabs>
        <w:tab w:val="left" w:pos="1701"/>
      </w:tabs>
      <w:spacing w:before="60" w:after="60"/>
      <w:ind w:left="1701" w:hanging="340"/>
    </w:pPr>
  </w:style>
  <w:style w:type="paragraph" w:styleId="ListBullet3">
    <w:name w:val="List Bullet 3"/>
    <w:basedOn w:val="List3"/>
    <w:rsid w:val="00A920E6"/>
    <w:pPr>
      <w:numPr>
        <w:numId w:val="13"/>
      </w:numPr>
      <w:tabs>
        <w:tab w:val="clear" w:pos="1021"/>
      </w:tabs>
      <w:ind w:left="1037" w:hanging="357"/>
    </w:pPr>
  </w:style>
  <w:style w:type="paragraph" w:styleId="ListBullet4">
    <w:name w:val="List Bullet 4"/>
    <w:basedOn w:val="List4"/>
    <w:rsid w:val="00A920E6"/>
    <w:pPr>
      <w:numPr>
        <w:numId w:val="1"/>
      </w:numPr>
    </w:pPr>
  </w:style>
  <w:style w:type="paragraph" w:styleId="ListBullet5">
    <w:name w:val="List Bullet 5"/>
    <w:basedOn w:val="List5"/>
    <w:rsid w:val="00A920E6"/>
    <w:pPr>
      <w:numPr>
        <w:numId w:val="2"/>
      </w:numPr>
    </w:pPr>
  </w:style>
  <w:style w:type="paragraph" w:styleId="ListContinue2">
    <w:name w:val="List Continue 2"/>
    <w:basedOn w:val="List2"/>
    <w:rsid w:val="00A920E6"/>
    <w:pPr>
      <w:ind w:firstLine="0"/>
    </w:pPr>
  </w:style>
  <w:style w:type="paragraph" w:styleId="ListContinue3">
    <w:name w:val="List Continue 3"/>
    <w:basedOn w:val="List3"/>
    <w:rsid w:val="00A920E6"/>
    <w:pPr>
      <w:ind w:left="1021" w:firstLine="0"/>
    </w:pPr>
  </w:style>
  <w:style w:type="paragraph" w:styleId="ListContinue4">
    <w:name w:val="List Continue 4"/>
    <w:basedOn w:val="List4"/>
    <w:rsid w:val="00A920E6"/>
    <w:pPr>
      <w:ind w:firstLine="0"/>
    </w:pPr>
  </w:style>
  <w:style w:type="paragraph" w:styleId="ListContinue5">
    <w:name w:val="List Continue 5"/>
    <w:basedOn w:val="List5"/>
    <w:rsid w:val="00A920E6"/>
    <w:pPr>
      <w:ind w:firstLine="0"/>
    </w:pPr>
  </w:style>
  <w:style w:type="paragraph" w:styleId="ListNumber3">
    <w:name w:val="List Number 3"/>
    <w:basedOn w:val="List3"/>
    <w:rsid w:val="00A920E6"/>
    <w:pPr>
      <w:numPr>
        <w:numId w:val="3"/>
      </w:numPr>
    </w:pPr>
  </w:style>
  <w:style w:type="paragraph" w:styleId="ListNumber4">
    <w:name w:val="List Number 4"/>
    <w:basedOn w:val="List4"/>
    <w:rsid w:val="00A920E6"/>
    <w:pPr>
      <w:numPr>
        <w:numId w:val="4"/>
      </w:numPr>
    </w:pPr>
  </w:style>
  <w:style w:type="paragraph" w:styleId="ListNumber5">
    <w:name w:val="List Number 5"/>
    <w:basedOn w:val="List5"/>
    <w:rsid w:val="00A920E6"/>
    <w:pPr>
      <w:numPr>
        <w:numId w:val="5"/>
      </w:numPr>
    </w:pPr>
  </w:style>
  <w:style w:type="paragraph" w:styleId="BlockText">
    <w:name w:val="Block Text"/>
    <w:basedOn w:val="Normal"/>
    <w:rsid w:val="00A920E6"/>
    <w:pPr>
      <w:spacing w:after="120"/>
      <w:ind w:left="1440" w:right="1440"/>
    </w:pPr>
  </w:style>
  <w:style w:type="character" w:customStyle="1" w:styleId="Subscript">
    <w:name w:val="Subscript"/>
    <w:basedOn w:val="DefaultParagraphFont"/>
    <w:rsid w:val="00A920E6"/>
    <w:rPr>
      <w:sz w:val="16"/>
      <w:vertAlign w:val="subscript"/>
    </w:rPr>
  </w:style>
  <w:style w:type="character" w:customStyle="1" w:styleId="Superscript">
    <w:name w:val="Superscript"/>
    <w:basedOn w:val="DefaultParagraphFont"/>
    <w:rsid w:val="00A920E6"/>
    <w:rPr>
      <w:sz w:val="16"/>
      <w:vertAlign w:val="superscript"/>
    </w:rPr>
  </w:style>
  <w:style w:type="character" w:customStyle="1" w:styleId="Symbols">
    <w:name w:val="Symbols"/>
    <w:basedOn w:val="DefaultParagraphFont"/>
    <w:rsid w:val="00A920E6"/>
    <w:rPr>
      <w:rFonts w:ascii="Symbol" w:hAnsi="Symbol"/>
    </w:rPr>
  </w:style>
  <w:style w:type="character" w:customStyle="1" w:styleId="MenuOptions">
    <w:name w:val="Menu Options"/>
    <w:basedOn w:val="DefaultParagraphFont"/>
    <w:rsid w:val="00A920E6"/>
    <w:rPr>
      <w:rFonts w:ascii="Arial Narrow" w:hAnsi="Arial Narrow"/>
      <w:smallCaps/>
    </w:rPr>
  </w:style>
  <w:style w:type="character" w:customStyle="1" w:styleId="Buttons">
    <w:name w:val="Buttons"/>
    <w:basedOn w:val="DefaultParagraphFont"/>
    <w:rsid w:val="00A920E6"/>
    <w:rPr>
      <w:b/>
    </w:rPr>
  </w:style>
  <w:style w:type="character" w:customStyle="1" w:styleId="Underlined">
    <w:name w:val="Underlined"/>
    <w:basedOn w:val="DefaultParagraphFont"/>
    <w:rsid w:val="00A920E6"/>
    <w:rPr>
      <w:u w:val="single"/>
    </w:rPr>
  </w:style>
  <w:style w:type="paragraph" w:customStyle="1" w:styleId="TableBodyTextRight">
    <w:name w:val="Table Body Text Right"/>
    <w:basedOn w:val="TableBodyText"/>
    <w:rsid w:val="00A920E6"/>
    <w:pPr>
      <w:widowControl w:val="0"/>
      <w:autoSpaceDE w:val="0"/>
      <w:autoSpaceDN w:val="0"/>
      <w:adjustRightInd w:val="0"/>
      <w:jc w:val="right"/>
    </w:pPr>
    <w:rPr>
      <w:rFonts w:cs="Arial"/>
      <w:szCs w:val="18"/>
    </w:rPr>
  </w:style>
  <w:style w:type="paragraph" w:customStyle="1" w:styleId="CopyrightText">
    <w:name w:val="Copyright Text"/>
    <w:basedOn w:val="BodyText"/>
    <w:rsid w:val="00A920E6"/>
    <w:rPr>
      <w:sz w:val="18"/>
    </w:rPr>
  </w:style>
  <w:style w:type="paragraph" w:customStyle="1" w:styleId="BodySmallRight">
    <w:name w:val="Body Small Right"/>
    <w:basedOn w:val="BodyTextRight"/>
    <w:rsid w:val="00A920E6"/>
    <w:rPr>
      <w:sz w:val="18"/>
      <w:szCs w:val="18"/>
    </w:rPr>
  </w:style>
  <w:style w:type="paragraph" w:customStyle="1" w:styleId="MarginEdition">
    <w:name w:val="Margin Edition"/>
    <w:basedOn w:val="MarginNote"/>
    <w:rsid w:val="00A920E6"/>
    <w:pPr>
      <w:spacing w:before="0" w:after="0"/>
    </w:pPr>
    <w:rPr>
      <w:rFonts w:ascii="Times New Roman" w:hAnsi="Times New Roman"/>
      <w:color w:val="999999"/>
    </w:rPr>
  </w:style>
  <w:style w:type="paragraph" w:customStyle="1" w:styleId="Spacer">
    <w:name w:val="Spacer"/>
    <w:basedOn w:val="Normal"/>
    <w:rsid w:val="00A920E6"/>
    <w:rPr>
      <w:sz w:val="2"/>
      <w:szCs w:val="2"/>
    </w:rPr>
  </w:style>
  <w:style w:type="character" w:customStyle="1" w:styleId="Small">
    <w:name w:val="Small"/>
    <w:basedOn w:val="DefaultParagraphFont"/>
    <w:rsid w:val="00A920E6"/>
    <w:rPr>
      <w:sz w:val="16"/>
    </w:rPr>
  </w:style>
  <w:style w:type="paragraph" w:customStyle="1" w:styleId="WideTable">
    <w:name w:val="Wide Table"/>
    <w:basedOn w:val="Normal"/>
    <w:rsid w:val="00A920E6"/>
    <w:pPr>
      <w:ind w:left="-1418"/>
    </w:pPr>
    <w:rPr>
      <w:sz w:val="2"/>
      <w:szCs w:val="2"/>
    </w:rPr>
  </w:style>
  <w:style w:type="character" w:styleId="PageNumber">
    <w:name w:val="page number"/>
    <w:basedOn w:val="DefaultParagraphFont"/>
    <w:rsid w:val="00A920E6"/>
  </w:style>
  <w:style w:type="paragraph" w:styleId="Quote">
    <w:name w:val="Quote"/>
    <w:basedOn w:val="Heading1"/>
    <w:link w:val="QuoteChar"/>
    <w:qFormat/>
    <w:rsid w:val="00A920E6"/>
    <w:rPr>
      <w:b w:val="0"/>
      <w:sz w:val="72"/>
      <w:szCs w:val="72"/>
      <w:lang w:val="en-NZ"/>
    </w:rPr>
  </w:style>
  <w:style w:type="character" w:customStyle="1" w:styleId="QuoteChar">
    <w:name w:val="Quote Char"/>
    <w:basedOn w:val="DefaultParagraphFont"/>
    <w:link w:val="Quote"/>
    <w:rsid w:val="00A92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0E6"/>
    <w:pPr>
      <w:pageBreakBefore/>
    </w:pPr>
  </w:style>
  <w:style w:type="paragraph" w:customStyle="1" w:styleId="Border">
    <w:name w:val="Border"/>
    <w:basedOn w:val="Normal"/>
    <w:qFormat/>
    <w:rsid w:val="00A92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0E6"/>
    <w:rPr>
      <w:b/>
      <w:bCs/>
      <w:i/>
      <w:iCs/>
      <w:color w:val="auto"/>
    </w:rPr>
  </w:style>
  <w:style w:type="paragraph" w:styleId="IntenseQuote">
    <w:name w:val="Intense Quote"/>
    <w:basedOn w:val="Normal"/>
    <w:next w:val="Normal"/>
    <w:link w:val="IntenseQuoteChar"/>
    <w:uiPriority w:val="30"/>
    <w:qFormat/>
    <w:rsid w:val="00A92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0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20E6"/>
    <w:rPr>
      <w:smallCaps/>
      <w:color w:val="auto"/>
      <w:u w:val="single"/>
    </w:rPr>
  </w:style>
  <w:style w:type="character" w:styleId="IntenseReference">
    <w:name w:val="Intense Reference"/>
    <w:basedOn w:val="DefaultParagraphFont"/>
    <w:uiPriority w:val="32"/>
    <w:qFormat/>
    <w:rsid w:val="00A920E6"/>
    <w:rPr>
      <w:b/>
      <w:bCs/>
      <w:smallCaps/>
      <w:color w:val="auto"/>
      <w:spacing w:val="5"/>
      <w:u w:val="single"/>
    </w:rPr>
  </w:style>
  <w:style w:type="paragraph" w:customStyle="1" w:styleId="2ColumnHeading">
    <w:name w:val="2Column Heading"/>
    <w:basedOn w:val="BodyText"/>
    <w:qFormat/>
    <w:rsid w:val="00A920E6"/>
    <w:pPr>
      <w:spacing w:after="60"/>
      <w:ind w:left="-2268"/>
    </w:pPr>
    <w:rPr>
      <w:b/>
    </w:rPr>
  </w:style>
  <w:style w:type="paragraph" w:customStyle="1" w:styleId="Heading1TOC">
    <w:name w:val="Heading1 TOC"/>
    <w:basedOn w:val="Normal"/>
    <w:qFormat/>
    <w:rsid w:val="00A920E6"/>
    <w:pPr>
      <w:spacing w:before="240" w:after="120"/>
    </w:pPr>
    <w:rPr>
      <w:rFonts w:ascii="Times New Roman" w:hAnsi="Times New Roman"/>
      <w:b/>
      <w:sz w:val="32"/>
    </w:rPr>
  </w:style>
  <w:style w:type="paragraph" w:customStyle="1" w:styleId="Heading2TOC">
    <w:name w:val="Heading2 TOC"/>
    <w:basedOn w:val="Normal"/>
    <w:qFormat/>
    <w:rsid w:val="00A920E6"/>
    <w:pPr>
      <w:spacing w:before="240" w:after="60"/>
    </w:pPr>
    <w:rPr>
      <w:rFonts w:ascii="Times New Roman" w:hAnsi="Times New Roman"/>
      <w:b/>
      <w:sz w:val="28"/>
    </w:rPr>
  </w:style>
  <w:style w:type="character" w:customStyle="1" w:styleId="Underline">
    <w:name w:val="Underline"/>
    <w:basedOn w:val="DefaultParagraphFont"/>
    <w:qFormat/>
    <w:rsid w:val="00A920E6"/>
    <w:rPr>
      <w:u w:val="single"/>
    </w:rPr>
  </w:style>
  <w:style w:type="character" w:customStyle="1" w:styleId="BoldandItalics">
    <w:name w:val="Bold and Italics"/>
    <w:qFormat/>
    <w:rsid w:val="00A920E6"/>
    <w:rPr>
      <w:b/>
      <w:i/>
      <w:u w:val="none"/>
    </w:rPr>
  </w:style>
  <w:style w:type="paragraph" w:styleId="BalloonText">
    <w:name w:val="Balloon Text"/>
    <w:basedOn w:val="Normal"/>
    <w:link w:val="BalloonTextChar"/>
    <w:rsid w:val="00A920E6"/>
    <w:rPr>
      <w:rFonts w:ascii="Tahoma" w:hAnsi="Tahoma" w:cs="Tahoma"/>
      <w:sz w:val="16"/>
      <w:szCs w:val="16"/>
    </w:rPr>
  </w:style>
  <w:style w:type="character" w:customStyle="1" w:styleId="BalloonTextChar">
    <w:name w:val="Balloon Text Char"/>
    <w:basedOn w:val="DefaultParagraphFont"/>
    <w:link w:val="BalloonText"/>
    <w:rsid w:val="00A920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20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0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Words>
  <Characters>6620</Characters>
  <Application>Microsoft Office Word</Application>
  <DocSecurity>0</DocSecurity>
  <Lines>281</Lines>
  <Paragraphs>155</Paragraphs>
  <ScaleCrop>false</ScaleCrop>
  <Company>Author-it Software Corporation Ltd.</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PUAPOL023B Manage investigations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2012-05-26T20:15:00Z</dcterms:created>
  <dcterms:modified xsi:type="dcterms:W3CDTF">2012-05-26T20:15:00Z</dcterms:modified>
</cp:coreProperties>
</file>