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0B01" w:rsidP="00630B0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PUALAW004B Represent the organisation in a judicial or quasi-judicial setting</w:t>
      </w:r>
      <w:r>
        <w:fldChar w:fldCharType="end"/>
      </w:r>
    </w:p>
    <w:p w:rsidR="00630B01" w:rsidP="00630B01">
      <w:pPr>
        <w:pStyle w:val="Version"/>
        <w:sectPr w:rsidSect="00EC0F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EC0F7B" w:rsidP="00EC0F7B">
      <w:pPr>
        <w:pStyle w:val="SuperHeading"/>
      </w:pPr>
      <w:r w:rsidRPr="00EC0F7B">
        <w:t>PUALAW004B Represent the organisation in a judicial or quasi-judicial setting</w:t>
      </w:r>
    </w:p>
    <w:p w:rsidR="00000000" w:rsidRPr="00EC0F7B" w:rsidP="00EC0F7B">
      <w:pPr>
        <w:pStyle w:val="SuperHeading"/>
      </w:pPr>
    </w:p>
    <w:p w:rsidR="00000000" w:rsidRPr="00EC0F7B" w:rsidP="00EC0F7B">
      <w:pPr>
        <w:pStyle w:val="Heading1"/>
      </w:pPr>
      <w:bookmarkStart w:id="1" w:name="O_458531"/>
      <w:bookmarkEnd w:id="1"/>
      <w:r w:rsidRPr="00EC0F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630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7B" w:rsidP="00EC0F7B">
            <w:pPr>
              <w:pStyle w:val="TableBodyText"/>
            </w:pPr>
            <w:r w:rsidRPr="00EC0F7B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7B" w:rsidP="00EC0F7B">
            <w:pPr>
              <w:pStyle w:val="TableBodyText"/>
            </w:pPr>
            <w:r w:rsidRPr="00EC0F7B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7B">
            <w:pPr>
              <w:pStyle w:val="TableBodyText"/>
              <w:rPr>
                <w:lang w:val="en-NZ"/>
              </w:rPr>
            </w:pPr>
            <w:r w:rsidRPr="00EC0F7B">
              <w:rPr>
                <w:rStyle w:val="SpecialBold"/>
              </w:rPr>
              <w:t>Comments</w:t>
            </w:r>
          </w:p>
        </w:tc>
      </w:tr>
      <w:tr w:rsidTr="00630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7B">
            <w:pPr>
              <w:pStyle w:val="TableBodyText"/>
              <w:rPr>
                <w:lang w:val="en-NZ"/>
              </w:rPr>
            </w:pPr>
            <w:r w:rsidRPr="00EC0F7B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7B">
            <w:pPr>
              <w:pStyle w:val="TableBodyText"/>
              <w:rPr>
                <w:lang w:val="en-NZ"/>
              </w:rPr>
            </w:pPr>
            <w:r w:rsidRPr="00EC0F7B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7B">
            <w:pPr>
              <w:pStyle w:val="TableBodyText"/>
              <w:rPr>
                <w:lang w:val="en-NZ"/>
              </w:rPr>
            </w:pPr>
            <w:r w:rsidRPr="00EC0F7B">
              <w:t>Layout adj</w:t>
            </w:r>
            <w:r w:rsidRPr="00EC0F7B">
              <w:t>usted. Application revised.</w:t>
            </w:r>
          </w:p>
        </w:tc>
      </w:tr>
      <w:tr w:rsidTr="00630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7B">
            <w:pPr>
              <w:pStyle w:val="TableBodyText"/>
              <w:rPr>
                <w:lang w:val="en-NZ"/>
              </w:rPr>
            </w:pPr>
            <w:r w:rsidRPr="00EC0F7B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7B">
            <w:pPr>
              <w:pStyle w:val="TableBodyText"/>
              <w:rPr>
                <w:lang w:val="en-NZ"/>
              </w:rPr>
            </w:pPr>
            <w:r w:rsidRPr="00EC0F7B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7B" w:rsidP="00EC0F7B">
            <w:pPr>
              <w:pStyle w:val="TableBodyText"/>
            </w:pPr>
            <w:r w:rsidRPr="00EC0F7B">
              <w:t>Primary release on TGA.</w:t>
            </w:r>
          </w:p>
        </w:tc>
      </w:tr>
    </w:tbl>
    <w:p w:rsidR="00000000" w:rsidRPr="00EC0F7B" w:rsidP="00EC0F7B">
      <w:pPr>
        <w:pStyle w:val="BodyText"/>
      </w:pPr>
    </w:p>
    <w:p w:rsidR="00000000" w:rsidRPr="00EC0F7B" w:rsidP="00EC0F7B">
      <w:pPr>
        <w:pStyle w:val="AllowPageBreak"/>
      </w:pPr>
    </w:p>
    <w:p w:rsidR="00000000" w:rsidRPr="00EC0F7B" w:rsidP="00EC0F7B">
      <w:pPr>
        <w:pStyle w:val="Heading1"/>
      </w:pPr>
      <w:bookmarkStart w:id="2" w:name="O_458527"/>
      <w:bookmarkEnd w:id="2"/>
      <w:r w:rsidRPr="00EC0F7B">
        <w:t>Unit Descriptor</w:t>
      </w:r>
    </w:p>
    <w:p w:rsidR="00000000" w:rsidRPr="00EC0F7B" w:rsidP="00EC0F7B">
      <w:pPr>
        <w:pStyle w:val="BodyText"/>
      </w:pPr>
      <w:r w:rsidRPr="00EC0F7B">
        <w:t>This unit covers the competency to prepare evidence, statements and submissions, select and arrange witnesses and brief counsel.</w:t>
      </w:r>
    </w:p>
    <w:p w:rsidR="00000000" w:rsidRPr="00EC0F7B" w:rsidP="00EC0F7B">
      <w:pPr>
        <w:pStyle w:val="AllowPageBreak"/>
      </w:pPr>
    </w:p>
    <w:p w:rsidR="00000000" w:rsidRPr="00EC0F7B" w:rsidP="00EC0F7B">
      <w:pPr>
        <w:pStyle w:val="Heading1"/>
      </w:pPr>
      <w:bookmarkStart w:id="3" w:name="O_458539"/>
      <w:bookmarkEnd w:id="3"/>
      <w:r w:rsidRPr="00EC0F7B">
        <w:t>Application of the Unit</w:t>
      </w:r>
    </w:p>
    <w:p w:rsidR="00000000" w:rsidRPr="00EC0F7B" w:rsidP="00EC0F7B">
      <w:pPr>
        <w:pStyle w:val="BodyText"/>
      </w:pPr>
      <w:r w:rsidRPr="00EC0F7B">
        <w:t>This unit applies to workers with responsibility for managing organisational response for a judicial or quasi-judicial setting. It is not relevant to workers with a legal representation role, or workers who are presenting evidence i</w:t>
      </w:r>
      <w:r w:rsidRPr="00EC0F7B">
        <w:t>n defence of organisational procedures.</w:t>
      </w:r>
    </w:p>
    <w:p w:rsidR="00000000" w:rsidRPr="00EC0F7B" w:rsidP="00EC0F7B">
      <w:pPr>
        <w:pStyle w:val="AllowPageBreak"/>
      </w:pPr>
    </w:p>
    <w:p w:rsidR="00000000" w:rsidRPr="00EC0F7B" w:rsidP="00EC0F7B">
      <w:pPr>
        <w:pStyle w:val="Heading1"/>
      </w:pPr>
      <w:bookmarkStart w:id="4" w:name="O_458532"/>
      <w:bookmarkEnd w:id="4"/>
      <w:r w:rsidRPr="00EC0F7B">
        <w:t>Licensing/Regulatory Information</w:t>
      </w:r>
    </w:p>
    <w:p w:rsidR="00000000" w:rsidRPr="00EC0F7B" w:rsidP="00EC0F7B">
      <w:pPr>
        <w:pStyle w:val="BodyText"/>
      </w:pPr>
      <w:r w:rsidRPr="00EC0F7B">
        <w:t>Not applicable.</w:t>
      </w:r>
    </w:p>
    <w:p w:rsidR="00000000" w:rsidRPr="00EC0F7B" w:rsidP="00EC0F7B">
      <w:pPr>
        <w:pStyle w:val="AllowPageBreak"/>
      </w:pPr>
    </w:p>
    <w:p w:rsidR="00000000" w:rsidRPr="00EC0F7B" w:rsidP="00EC0F7B">
      <w:pPr>
        <w:pStyle w:val="Heading1"/>
      </w:pPr>
      <w:bookmarkStart w:id="5" w:name="O_458530"/>
      <w:bookmarkEnd w:id="5"/>
      <w:r w:rsidRPr="00EC0F7B">
        <w:t>Pre-Requisites</w:t>
      </w:r>
    </w:p>
    <w:p w:rsidR="00000000" w:rsidRPr="00EC0F7B" w:rsidP="00EC0F7B">
      <w:pPr>
        <w:pStyle w:val="BodyText"/>
      </w:pPr>
      <w:r w:rsidRPr="00EC0F7B">
        <w:t>Not applicable.</w:t>
      </w:r>
    </w:p>
    <w:p w:rsidR="00000000" w:rsidRPr="00EC0F7B" w:rsidP="00EC0F7B">
      <w:pPr>
        <w:pStyle w:val="AllowPageBreak"/>
      </w:pPr>
    </w:p>
    <w:p w:rsidR="00000000" w:rsidRPr="00EC0F7B" w:rsidP="00EC0F7B">
      <w:pPr>
        <w:pStyle w:val="Heading1"/>
      </w:pPr>
      <w:bookmarkStart w:id="6" w:name="O_458535"/>
      <w:bookmarkEnd w:id="6"/>
      <w:r w:rsidRPr="00EC0F7B">
        <w:t>Employability Skills Information</w:t>
      </w:r>
    </w:p>
    <w:p w:rsidR="00000000" w:rsidRPr="00EC0F7B" w:rsidP="00EC0F7B">
      <w:pPr>
        <w:pStyle w:val="BodyText"/>
      </w:pPr>
      <w:r w:rsidRPr="00EC0F7B">
        <w:t>This unit contains employability skills.</w:t>
      </w:r>
    </w:p>
    <w:p w:rsidR="00000000" w:rsidRPr="00EC0F7B" w:rsidP="00EC0F7B">
      <w:pPr>
        <w:pStyle w:val="AllowPageBreak"/>
      </w:pPr>
    </w:p>
    <w:p w:rsidR="00000000" w:rsidRPr="00EC0F7B" w:rsidP="00EC0F7B">
      <w:pPr>
        <w:pStyle w:val="Heading1"/>
      </w:pPr>
      <w:bookmarkStart w:id="7" w:name="O_458536"/>
      <w:bookmarkEnd w:id="7"/>
      <w:r w:rsidRPr="00EC0F7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30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7B">
            <w:pPr>
              <w:pStyle w:val="BodyText"/>
              <w:rPr>
                <w:lang w:val="en-NZ"/>
              </w:rPr>
            </w:pPr>
            <w:r w:rsidRPr="00EC0F7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7B" w:rsidP="00EC0F7B">
            <w:pPr>
              <w:pStyle w:val="BodyText"/>
            </w:pPr>
            <w:r w:rsidRPr="00EC0F7B">
              <w:t xml:space="preserve">Performance Criteria describe the required performance needed to demonstrate achievement of the element. Where </w:t>
            </w:r>
            <w:r w:rsidRPr="00EC0F7B">
              <w:rPr>
                <w:rStyle w:val="BoldandItalics"/>
              </w:rPr>
              <w:t>bold italicised</w:t>
            </w:r>
            <w:r w:rsidRPr="00EC0F7B">
              <w:t xml:space="preserve"> text is u</w:t>
            </w:r>
            <w:r w:rsidRPr="00EC0F7B">
              <w:t>sed, further information is detailed in the Range Statement. Assessment of performance is to be consistent with the Evidence Guide.</w:t>
            </w:r>
          </w:p>
        </w:tc>
      </w:tr>
    </w:tbl>
    <w:p w:rsidR="00000000" w:rsidRPr="00EC0F7B" w:rsidP="00EC0F7B">
      <w:pPr>
        <w:pStyle w:val="BodyText"/>
      </w:pPr>
    </w:p>
    <w:p w:rsidR="00000000" w:rsidRPr="00EC0F7B" w:rsidP="00EC0F7B">
      <w:pPr>
        <w:pStyle w:val="AllowPageBreak"/>
      </w:pPr>
    </w:p>
    <w:p w:rsidR="00000000" w:rsidRPr="00EC0F7B" w:rsidP="00EC0F7B">
      <w:pPr>
        <w:pStyle w:val="Heading1"/>
      </w:pPr>
      <w:bookmarkStart w:id="8" w:name="O_458537"/>
      <w:bookmarkEnd w:id="8"/>
      <w:r w:rsidRPr="00EC0F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30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7B" w:rsidP="00EC0F7B">
            <w:pPr>
              <w:pStyle w:val="BodyText"/>
            </w:pPr>
            <w:r w:rsidRPr="00EC0F7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7B">
            <w:pPr>
              <w:pStyle w:val="BodyText"/>
              <w:rPr>
                <w:lang w:val="en-NZ"/>
              </w:rPr>
            </w:pPr>
            <w:r w:rsidRPr="00EC0F7B">
              <w:rPr>
                <w:rStyle w:val="SpecialBold"/>
              </w:rPr>
              <w:t>PERFORMANCE CRITERIA</w:t>
            </w:r>
          </w:p>
        </w:tc>
      </w:tr>
      <w:tr w:rsidTr="00630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7B">
            <w:pPr>
              <w:pStyle w:val="List"/>
              <w:rPr>
                <w:lang w:val="en-NZ"/>
              </w:rPr>
            </w:pPr>
            <w:r w:rsidRPr="00EC0F7B">
              <w:rPr>
                <w:rStyle w:val="SpecialBold"/>
              </w:rPr>
              <w:t>1.</w:t>
            </w:r>
            <w:r w:rsidRPr="00EC0F7B">
              <w:rPr>
                <w:rStyle w:val="SpecialBold"/>
              </w:rPr>
              <w:tab/>
              <w:t>Prepare evidence and other material fo</w:t>
            </w:r>
            <w:r w:rsidRPr="00EC0F7B">
              <w:rPr>
                <w:rStyle w:val="SpecialBold"/>
              </w:rPr>
              <w:t>r proceedings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7B" w:rsidP="00EC0F7B">
            <w:pPr>
              <w:pStyle w:val="List"/>
            </w:pPr>
            <w:r w:rsidRPr="00EC0F7B">
              <w:t>1.1</w:t>
            </w:r>
            <w:r w:rsidRPr="00EC0F7B">
              <w:tab/>
              <w:t>Detailed evidence is collected and collated.</w:t>
            </w:r>
          </w:p>
          <w:p w:rsidR="00000000" w:rsidRPr="00EC0F7B" w:rsidP="00EC0F7B">
            <w:pPr>
              <w:pStyle w:val="List"/>
            </w:pPr>
            <w:r w:rsidRPr="00EC0F7B">
              <w:t>1.2</w:t>
            </w:r>
            <w:r w:rsidRPr="00EC0F7B">
              <w:tab/>
              <w:t>Witnesses are selected, correctly notified and their attendance arranged.</w:t>
            </w:r>
          </w:p>
          <w:p w:rsidR="00000000" w:rsidRPr="00EC0F7B" w:rsidP="00EC0F7B">
            <w:pPr>
              <w:pStyle w:val="List"/>
            </w:pPr>
            <w:r w:rsidRPr="00EC0F7B">
              <w:t>1.3</w:t>
            </w:r>
            <w:r w:rsidRPr="00EC0F7B">
              <w:tab/>
              <w:t>Witness statements are prepared in accordance with the requirements of the jurisdiction involved.</w:t>
            </w:r>
          </w:p>
          <w:p w:rsidR="00000000" w:rsidRPr="00EC0F7B" w:rsidP="00EC0F7B">
            <w:pPr>
              <w:pStyle w:val="List"/>
            </w:pPr>
            <w:r w:rsidRPr="00EC0F7B">
              <w:t>1.4</w:t>
            </w:r>
            <w:r w:rsidRPr="00EC0F7B">
              <w:tab/>
            </w:r>
            <w:r w:rsidRPr="00EC0F7B">
              <w:rPr>
                <w:rStyle w:val="BoldandItalics"/>
              </w:rPr>
              <w:t>Proceedings</w:t>
            </w:r>
            <w:r w:rsidRPr="00EC0F7B">
              <w:t xml:space="preserve"> and </w:t>
            </w:r>
            <w:r w:rsidRPr="00EC0F7B">
              <w:rPr>
                <w:rStyle w:val="BoldandItalics"/>
              </w:rPr>
              <w:t>protocols</w:t>
            </w:r>
            <w:r w:rsidRPr="00EC0F7B">
              <w:t xml:space="preserve"> are adhered to in preparing evidence in accordance with the jurisdiction involved.</w:t>
            </w:r>
          </w:p>
          <w:p w:rsidR="00000000" w:rsidRPr="00EC0F7B" w:rsidP="00EC0F7B">
            <w:pPr>
              <w:pStyle w:val="List"/>
            </w:pPr>
            <w:r w:rsidRPr="00EC0F7B">
              <w:t>1.5</w:t>
            </w:r>
            <w:r w:rsidRPr="00EC0F7B">
              <w:tab/>
              <w:t>Precedents relevant to the procedures are identified.</w:t>
            </w:r>
          </w:p>
          <w:p w:rsidR="00000000" w:rsidRPr="00EC0F7B" w:rsidP="00EC0F7B">
            <w:pPr>
              <w:pStyle w:val="List"/>
            </w:pPr>
            <w:r w:rsidRPr="00EC0F7B">
              <w:t>1.6</w:t>
            </w:r>
            <w:r w:rsidRPr="00EC0F7B">
              <w:tab/>
              <w:t xml:space="preserve">A </w:t>
            </w:r>
            <w:r w:rsidRPr="00EC0F7B">
              <w:rPr>
                <w:rStyle w:val="BoldandItalics"/>
              </w:rPr>
              <w:t>legal brief</w:t>
            </w:r>
            <w:r w:rsidRPr="00EC0F7B">
              <w:t xml:space="preserve"> is prepared where required that identifies all relevant facts, sections</w:t>
            </w:r>
            <w:r w:rsidRPr="00EC0F7B">
              <w:t xml:space="preserve"> of appropriate legislation, precedents, and provides detailed evidence and advice.</w:t>
            </w:r>
          </w:p>
          <w:p w:rsidR="00000000" w:rsidP="00EC0F7B">
            <w:pPr>
              <w:pStyle w:val="List"/>
              <w:rPr>
                <w:lang w:val="en-NZ"/>
              </w:rPr>
            </w:pPr>
            <w:r w:rsidRPr="00EC0F7B">
              <w:t>1.7</w:t>
            </w:r>
            <w:r w:rsidRPr="00EC0F7B">
              <w:tab/>
              <w:t>Submission is prepared that supports the organisation's position and protects the organisation's interests.</w:t>
            </w:r>
          </w:p>
        </w:tc>
      </w:tr>
      <w:tr w:rsidTr="00630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7B">
            <w:pPr>
              <w:pStyle w:val="List"/>
              <w:rPr>
                <w:lang w:val="en-NZ"/>
              </w:rPr>
            </w:pPr>
            <w:r w:rsidRPr="00EC0F7B">
              <w:rPr>
                <w:rStyle w:val="SpecialBold"/>
              </w:rPr>
              <w:t>2.</w:t>
            </w:r>
            <w:r w:rsidRPr="00EC0F7B">
              <w:rPr>
                <w:rStyle w:val="SpecialBold"/>
              </w:rPr>
              <w:tab/>
              <w:t>Prepare personnel for proceedings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7B" w:rsidP="00EC0F7B">
            <w:pPr>
              <w:pStyle w:val="List"/>
            </w:pPr>
            <w:r w:rsidRPr="00EC0F7B">
              <w:t>2.1</w:t>
            </w:r>
            <w:r w:rsidRPr="00EC0F7B">
              <w:tab/>
              <w:t>Briefings are held</w:t>
            </w:r>
            <w:r w:rsidRPr="00EC0F7B">
              <w:t xml:space="preserve"> with counsel as required.</w:t>
            </w:r>
          </w:p>
          <w:p w:rsidR="00000000" w:rsidP="00EC0F7B">
            <w:pPr>
              <w:pStyle w:val="List"/>
              <w:rPr>
                <w:lang w:val="en-NZ"/>
              </w:rPr>
            </w:pPr>
            <w:r w:rsidRPr="00EC0F7B">
              <w:t>2.2</w:t>
            </w:r>
            <w:r w:rsidRPr="00EC0F7B">
              <w:tab/>
              <w:t>Personnel involved in the proceedings are briefed.</w:t>
            </w:r>
          </w:p>
        </w:tc>
      </w:tr>
      <w:tr w:rsidTr="00630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7B">
            <w:pPr>
              <w:pStyle w:val="List"/>
              <w:rPr>
                <w:lang w:val="en-NZ"/>
              </w:rPr>
            </w:pPr>
            <w:r w:rsidRPr="00EC0F7B">
              <w:rPr>
                <w:rStyle w:val="SpecialBold"/>
              </w:rPr>
              <w:t>3.</w:t>
            </w:r>
            <w:r w:rsidRPr="00EC0F7B">
              <w:rPr>
                <w:rStyle w:val="SpecialBold"/>
              </w:rPr>
              <w:tab/>
              <w:t>Negotiate with opposing parties where required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7B" w:rsidP="00EC0F7B">
            <w:pPr>
              <w:pStyle w:val="List"/>
            </w:pPr>
            <w:r w:rsidRPr="00EC0F7B">
              <w:t>3.1</w:t>
            </w:r>
            <w:r w:rsidRPr="00EC0F7B">
              <w:tab/>
              <w:t>Any negotiation parameters are clearly identified prior to the court process.</w:t>
            </w:r>
          </w:p>
          <w:p w:rsidR="00000000" w:rsidP="00EC0F7B">
            <w:pPr>
              <w:pStyle w:val="List"/>
              <w:rPr>
                <w:lang w:val="en-NZ"/>
              </w:rPr>
            </w:pPr>
            <w:r w:rsidRPr="00EC0F7B">
              <w:t>3.2</w:t>
            </w:r>
            <w:r w:rsidRPr="00EC0F7B">
              <w:tab/>
              <w:t xml:space="preserve">Negotiations held in conference with </w:t>
            </w:r>
            <w:r w:rsidRPr="00EC0F7B">
              <w:t>the opposing parties are in accordance with agreed negotiation parameters of the organisation represented.</w:t>
            </w:r>
          </w:p>
        </w:tc>
      </w:tr>
      <w:tr w:rsidTr="00630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7B">
            <w:pPr>
              <w:pStyle w:val="List"/>
              <w:rPr>
                <w:lang w:val="en-NZ"/>
              </w:rPr>
            </w:pPr>
            <w:r w:rsidRPr="00EC0F7B">
              <w:rPr>
                <w:rStyle w:val="SpecialBold"/>
              </w:rPr>
              <w:t>4.</w:t>
            </w:r>
            <w:r w:rsidRPr="00EC0F7B">
              <w:rPr>
                <w:rStyle w:val="SpecialBold"/>
              </w:rPr>
              <w:tab/>
              <w:t>Monitor rulings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7B" w:rsidP="00EC0F7B">
            <w:pPr>
              <w:pStyle w:val="List"/>
            </w:pPr>
            <w:r w:rsidRPr="00EC0F7B">
              <w:t>4.1</w:t>
            </w:r>
            <w:r w:rsidRPr="00EC0F7B">
              <w:tab/>
              <w:t>Outcomes of proceedings are reviewed to ensure knowledge of trends and precedents is current.</w:t>
            </w:r>
          </w:p>
          <w:p w:rsidR="00000000" w:rsidRPr="00EC0F7B" w:rsidP="00EC0F7B">
            <w:pPr>
              <w:pStyle w:val="List"/>
            </w:pPr>
            <w:r w:rsidRPr="00EC0F7B">
              <w:t>4.2</w:t>
            </w:r>
            <w:r w:rsidRPr="00EC0F7B">
              <w:tab/>
              <w:t>Changes to organisation's p</w:t>
            </w:r>
            <w:r w:rsidRPr="00EC0F7B">
              <w:t>olicy and procedures arising from rulings and decisions are formulated.</w:t>
            </w:r>
          </w:p>
        </w:tc>
      </w:tr>
    </w:tbl>
    <w:p w:rsidR="00000000" w:rsidRPr="00EC0F7B" w:rsidP="00EC0F7B">
      <w:pPr>
        <w:pStyle w:val="BodyText"/>
      </w:pPr>
    </w:p>
    <w:p w:rsidR="00000000" w:rsidRPr="00EC0F7B" w:rsidP="00EC0F7B">
      <w:pPr>
        <w:pStyle w:val="AllowPageBreak"/>
      </w:pPr>
    </w:p>
    <w:p w:rsidR="00000000" w:rsidRPr="00EC0F7B" w:rsidP="00EC0F7B">
      <w:pPr>
        <w:pStyle w:val="Heading1"/>
      </w:pPr>
      <w:bookmarkStart w:id="9" w:name="O_458528"/>
      <w:bookmarkEnd w:id="9"/>
      <w:r w:rsidRPr="00EC0F7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30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7B">
            <w:pPr>
              <w:pStyle w:val="BodyText"/>
              <w:rPr>
                <w:lang w:val="en-NZ"/>
              </w:rPr>
            </w:pPr>
            <w:r w:rsidRPr="00EC0F7B">
              <w:t>This describes the essential skills and knowledge and their level, required for this unit.</w:t>
            </w:r>
          </w:p>
        </w:tc>
      </w:tr>
      <w:tr w:rsidTr="00630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7B">
            <w:pPr>
              <w:pStyle w:val="BodyText"/>
              <w:rPr>
                <w:lang w:val="en-NZ"/>
              </w:rPr>
            </w:pPr>
            <w:r w:rsidRPr="00EC0F7B">
              <w:rPr>
                <w:rStyle w:val="SpecialBold"/>
              </w:rPr>
              <w:t>Required Skills</w:t>
            </w:r>
          </w:p>
        </w:tc>
      </w:tr>
      <w:tr w:rsidTr="00630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7B" w:rsidP="00EC0F7B">
            <w:pPr>
              <w:pStyle w:val="ListBullet"/>
            </w:pPr>
            <w:r w:rsidRPr="00EC0F7B">
              <w:t>briefing counsel and witnesses</w:t>
            </w:r>
          </w:p>
          <w:p w:rsidR="00000000" w:rsidRPr="00EC0F7B" w:rsidP="00EC0F7B">
            <w:pPr>
              <w:pStyle w:val="ListBullet"/>
            </w:pPr>
            <w:r w:rsidRPr="00EC0F7B">
              <w:t>collating evidence</w:t>
            </w:r>
          </w:p>
          <w:p w:rsidR="00000000" w:rsidRPr="00EC0F7B" w:rsidP="00EC0F7B">
            <w:pPr>
              <w:pStyle w:val="ListBullet"/>
            </w:pPr>
            <w:r w:rsidRPr="00EC0F7B">
              <w:t>preparing statements</w:t>
            </w:r>
          </w:p>
          <w:p w:rsidR="00000000" w:rsidRPr="00EC0F7B" w:rsidP="00EC0F7B">
            <w:pPr>
              <w:pStyle w:val="ListBullet"/>
            </w:pPr>
            <w:r w:rsidRPr="00EC0F7B">
              <w:t>researching and identifying precedents</w:t>
            </w:r>
          </w:p>
          <w:p w:rsidR="00000000" w:rsidP="00EC0F7B">
            <w:pPr>
              <w:pStyle w:val="ListBullet"/>
              <w:rPr>
                <w:lang w:val="en-NZ"/>
              </w:rPr>
            </w:pPr>
            <w:r w:rsidRPr="00EC0F7B">
              <w:t>writing reports</w:t>
            </w:r>
          </w:p>
        </w:tc>
      </w:tr>
      <w:tr w:rsidTr="00630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7B">
            <w:pPr>
              <w:pStyle w:val="BodyText"/>
              <w:rPr>
                <w:lang w:val="en-NZ"/>
              </w:rPr>
            </w:pPr>
            <w:r w:rsidRPr="00EC0F7B">
              <w:rPr>
                <w:rStyle w:val="SpecialBold"/>
              </w:rPr>
              <w:t>Required Knowledge</w:t>
            </w:r>
          </w:p>
        </w:tc>
      </w:tr>
      <w:tr w:rsidTr="00630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7B" w:rsidP="00EC0F7B">
            <w:pPr>
              <w:pStyle w:val="ListBullet"/>
            </w:pPr>
            <w:r w:rsidRPr="00EC0F7B">
              <w:t>burden of proof</w:t>
            </w:r>
          </w:p>
          <w:p w:rsidR="00000000" w:rsidRPr="00EC0F7B" w:rsidP="00EC0F7B">
            <w:pPr>
              <w:pStyle w:val="ListBullet"/>
            </w:pPr>
            <w:r w:rsidRPr="00EC0F7B">
              <w:t>conduct and operation of hearings</w:t>
            </w:r>
          </w:p>
          <w:p w:rsidR="00000000" w:rsidRPr="00EC0F7B" w:rsidP="00EC0F7B">
            <w:pPr>
              <w:pStyle w:val="ListBullet"/>
            </w:pPr>
            <w:r w:rsidRPr="00EC0F7B">
              <w:t>Coroners Act</w:t>
            </w:r>
          </w:p>
          <w:p w:rsidR="00000000" w:rsidRPr="00EC0F7B" w:rsidP="00EC0F7B">
            <w:pPr>
              <w:pStyle w:val="ListBullet"/>
            </w:pPr>
            <w:r w:rsidRPr="00EC0F7B">
              <w:t>Criminal Code</w:t>
            </w:r>
          </w:p>
          <w:p w:rsidR="00000000" w:rsidRPr="00EC0F7B" w:rsidP="00EC0F7B">
            <w:pPr>
              <w:pStyle w:val="ListBullet"/>
            </w:pPr>
            <w:r w:rsidRPr="00EC0F7B">
              <w:t>exemptions and defences</w:t>
            </w:r>
          </w:p>
          <w:p w:rsidR="00000000" w:rsidRPr="00EC0F7B" w:rsidP="00EC0F7B">
            <w:pPr>
              <w:pStyle w:val="ListBullet"/>
            </w:pPr>
            <w:r w:rsidRPr="00EC0F7B">
              <w:t xml:space="preserve">Hearsay </w:t>
            </w:r>
            <w:r w:rsidRPr="00EC0F7B">
              <w:t>Rule</w:t>
            </w:r>
          </w:p>
          <w:p w:rsidR="00000000" w:rsidRPr="00EC0F7B" w:rsidP="00EC0F7B">
            <w:pPr>
              <w:pStyle w:val="ListBullet"/>
            </w:pPr>
            <w:r w:rsidRPr="00EC0F7B">
              <w:t>how to prepare legal brief</w:t>
            </w:r>
          </w:p>
          <w:p w:rsidR="00000000" w:rsidRPr="00EC0F7B" w:rsidP="00EC0F7B">
            <w:pPr>
              <w:pStyle w:val="ListBullet"/>
            </w:pPr>
            <w:r w:rsidRPr="00EC0F7B">
              <w:t>how to prepare submissions</w:t>
            </w:r>
          </w:p>
          <w:p w:rsidR="00000000" w:rsidRPr="00EC0F7B" w:rsidP="00EC0F7B">
            <w:pPr>
              <w:pStyle w:val="ListBullet"/>
            </w:pPr>
            <w:r w:rsidRPr="00EC0F7B">
              <w:t>points of proof</w:t>
            </w:r>
          </w:p>
          <w:p w:rsidR="00000000" w:rsidRPr="00EC0F7B" w:rsidP="00EC0F7B">
            <w:pPr>
              <w:pStyle w:val="ListBullet"/>
            </w:pPr>
            <w:r w:rsidRPr="00EC0F7B">
              <w:t>procedures and protocols in different judicial or quasi-judicial settings</w:t>
            </w:r>
          </w:p>
          <w:p w:rsidR="00000000" w:rsidRPr="00EC0F7B" w:rsidP="00EC0F7B">
            <w:pPr>
              <w:pStyle w:val="ListBullet"/>
            </w:pPr>
            <w:r w:rsidRPr="00EC0F7B">
              <w:t>qualifications and experience required of expert witness</w:t>
            </w:r>
          </w:p>
          <w:p w:rsidR="00000000" w:rsidRPr="00EC0F7B" w:rsidP="00EC0F7B">
            <w:pPr>
              <w:pStyle w:val="ListBullet"/>
            </w:pPr>
            <w:r w:rsidRPr="00EC0F7B">
              <w:t>range of crimes/offences that can be committed</w:t>
            </w:r>
          </w:p>
          <w:p w:rsidR="00000000" w:rsidRPr="00EC0F7B" w:rsidP="00EC0F7B">
            <w:pPr>
              <w:pStyle w:val="ListBullet"/>
            </w:pPr>
            <w:r w:rsidRPr="00EC0F7B">
              <w:t>relevant sections of Evidence Act</w:t>
            </w:r>
          </w:p>
          <w:p w:rsidR="00000000" w:rsidRPr="00EC0F7B" w:rsidP="00EC0F7B">
            <w:pPr>
              <w:pStyle w:val="ListBullet"/>
            </w:pPr>
            <w:r w:rsidRPr="00EC0F7B">
              <w:t>relevant sections of legislation</w:t>
            </w:r>
          </w:p>
          <w:p w:rsidR="00000000" w:rsidRPr="00EC0F7B" w:rsidP="00EC0F7B">
            <w:pPr>
              <w:pStyle w:val="ListBullet"/>
            </w:pPr>
            <w:r w:rsidRPr="00EC0F7B">
              <w:t>roles of lay and expert witness</w:t>
            </w:r>
          </w:p>
          <w:p w:rsidR="00000000" w:rsidRPr="00EC0F7B" w:rsidP="00EC0F7B">
            <w:pPr>
              <w:pStyle w:val="ListBullet"/>
            </w:pPr>
            <w:r w:rsidRPr="00EC0F7B">
              <w:t>rules of evidence in different judicial or quasi-judicial settings</w:t>
            </w:r>
          </w:p>
          <w:p w:rsidR="00000000" w:rsidRPr="00EC0F7B" w:rsidP="00EC0F7B">
            <w:pPr>
              <w:pStyle w:val="ListBullet"/>
            </w:pPr>
            <w:r w:rsidRPr="00EC0F7B">
              <w:t>types of evidence</w:t>
            </w:r>
          </w:p>
          <w:p w:rsidR="00000000" w:rsidRPr="00EC0F7B" w:rsidP="00EC0F7B">
            <w:pPr>
              <w:pStyle w:val="ListBullet"/>
            </w:pPr>
            <w:r w:rsidRPr="00EC0F7B">
              <w:t>use of notes</w:t>
            </w:r>
          </w:p>
        </w:tc>
      </w:tr>
    </w:tbl>
    <w:p w:rsidR="00000000" w:rsidRPr="00EC0F7B" w:rsidP="00EC0F7B">
      <w:pPr>
        <w:pStyle w:val="BodyText"/>
      </w:pPr>
    </w:p>
    <w:p w:rsidR="00000000" w:rsidRPr="00EC0F7B" w:rsidP="00EC0F7B">
      <w:pPr>
        <w:pStyle w:val="AllowPageBreak"/>
      </w:pPr>
    </w:p>
    <w:p w:rsidR="00000000" w:rsidRPr="00EC0F7B" w:rsidP="00EC0F7B">
      <w:pPr>
        <w:pStyle w:val="Heading1"/>
      </w:pPr>
      <w:bookmarkStart w:id="10" w:name="O_458534"/>
      <w:bookmarkEnd w:id="10"/>
      <w:r w:rsidRPr="00EC0F7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30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7B">
            <w:pPr>
              <w:pStyle w:val="BodyText"/>
              <w:rPr>
                <w:lang w:val="en-NZ"/>
              </w:rPr>
            </w:pPr>
            <w:r w:rsidRPr="00EC0F7B">
              <w:rPr>
                <w:rStyle w:val="SpecialBold"/>
              </w:rPr>
              <w:t>Critical aspects for asse</w:t>
            </w:r>
            <w:r w:rsidRPr="00EC0F7B">
              <w:rPr>
                <w:rStyle w:val="SpecialBold"/>
              </w:rPr>
              <w:t>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7B" w:rsidP="00EC0F7B">
            <w:pPr>
              <w:pStyle w:val="BodyText"/>
            </w:pPr>
            <w:r w:rsidRPr="00EC0F7B">
              <w:t>Full and detailed evidence to hand.</w:t>
            </w:r>
          </w:p>
          <w:p w:rsidR="00000000" w:rsidRPr="00EC0F7B" w:rsidP="00EC0F7B">
            <w:pPr>
              <w:pStyle w:val="BodyText"/>
            </w:pPr>
            <w:r w:rsidRPr="00EC0F7B">
              <w:t>Comprehensive and accurate legal brief.</w:t>
            </w:r>
          </w:p>
          <w:p w:rsidR="00000000" w:rsidRPr="00EC0F7B" w:rsidP="00EC0F7B">
            <w:pPr>
              <w:pStyle w:val="BodyText"/>
            </w:pPr>
          </w:p>
          <w:p w:rsidR="00000000" w:rsidRPr="00EC0F7B" w:rsidP="00EC0F7B">
            <w:pPr>
              <w:pStyle w:val="BodyText"/>
            </w:pPr>
            <w:r w:rsidRPr="00EC0F7B">
              <w:rPr>
                <w:rStyle w:val="SpecialBold"/>
              </w:rPr>
              <w:t>Consistency in performance</w:t>
            </w:r>
          </w:p>
          <w:p w:rsidR="00000000" w:rsidP="00EC0F7B">
            <w:pPr>
              <w:pStyle w:val="BodyText"/>
              <w:rPr>
                <w:lang w:val="en-NZ"/>
              </w:rPr>
            </w:pPr>
            <w:r w:rsidRPr="00EC0F7B">
              <w:t>Evidence should be gathered over a period of time in a range of actual or simulated workplace environments.</w:t>
            </w:r>
          </w:p>
        </w:tc>
      </w:tr>
      <w:tr w:rsidTr="00630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7B" w:rsidP="00EC0F7B">
            <w:pPr>
              <w:pStyle w:val="BodyText"/>
            </w:pPr>
            <w:r w:rsidRPr="00EC0F7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7B" w:rsidP="00EC0F7B">
            <w:pPr>
              <w:pStyle w:val="BodyText"/>
            </w:pPr>
            <w:r w:rsidRPr="00EC0F7B">
              <w:rPr>
                <w:rStyle w:val="SpecialBold"/>
              </w:rPr>
              <w:t>Context of assessment</w:t>
            </w:r>
          </w:p>
          <w:p w:rsidR="00000000" w:rsidRPr="00EC0F7B" w:rsidP="00EC0F7B">
            <w:pPr>
              <w:pStyle w:val="BodyText"/>
            </w:pPr>
            <w:r w:rsidRPr="00EC0F7B">
              <w:t>On the job or in a simulated work environment.</w:t>
            </w:r>
          </w:p>
          <w:p w:rsidR="00000000" w:rsidRPr="00EC0F7B" w:rsidP="00EC0F7B">
            <w:pPr>
              <w:pStyle w:val="BodyText"/>
            </w:pPr>
            <w:r w:rsidRPr="00EC0F7B">
              <w:rPr>
                <w:rStyle w:val="SpecialBold"/>
              </w:rPr>
              <w:t>Specific resources for assess</w:t>
            </w:r>
            <w:r w:rsidRPr="00EC0F7B">
              <w:rPr>
                <w:rStyle w:val="SpecialBold"/>
              </w:rPr>
              <w:t>ment</w:t>
            </w:r>
          </w:p>
          <w:p w:rsidR="00000000" w:rsidRPr="00EC0F7B" w:rsidP="00EC0F7B">
            <w:pPr>
              <w:pStyle w:val="BodyText"/>
            </w:pPr>
            <w:r w:rsidRPr="00EC0F7B">
              <w:t>No special requirements.</w:t>
            </w:r>
          </w:p>
        </w:tc>
      </w:tr>
    </w:tbl>
    <w:p w:rsidR="00000000" w:rsidRPr="00EC0F7B" w:rsidP="00EC0F7B">
      <w:pPr>
        <w:pStyle w:val="BodyText"/>
      </w:pPr>
    </w:p>
    <w:p w:rsidR="00000000" w:rsidRPr="00EC0F7B" w:rsidP="00EC0F7B">
      <w:pPr>
        <w:pStyle w:val="AllowPageBreak"/>
      </w:pPr>
    </w:p>
    <w:p w:rsidR="00000000" w:rsidRPr="00EC0F7B" w:rsidP="00EC0F7B">
      <w:pPr>
        <w:pStyle w:val="Heading1"/>
      </w:pPr>
      <w:bookmarkStart w:id="11" w:name="O_458529"/>
      <w:bookmarkEnd w:id="11"/>
      <w:r w:rsidRPr="00EC0F7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30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7B">
            <w:pPr>
              <w:pStyle w:val="BodyText"/>
              <w:rPr>
                <w:lang w:val="en-NZ"/>
              </w:rPr>
            </w:pPr>
            <w:r w:rsidRPr="00EC0F7B">
              <w:t xml:space="preserve">The Range Statement relates to the Unit of Competency as a whole. It allows for different work environments and situations that may affect performance. </w:t>
            </w:r>
            <w:r w:rsidRPr="00EC0F7B">
              <w:rPr>
                <w:rStyle w:val="BoldandItalics"/>
              </w:rPr>
              <w:t>Bold italicised</w:t>
            </w:r>
            <w:r w:rsidRPr="00EC0F7B">
              <w:t xml:space="preserve"> wording in the Performa</w:t>
            </w:r>
            <w:r w:rsidRPr="00EC0F7B">
              <w:t>nce Criteria is detailed below.</w:t>
            </w:r>
          </w:p>
        </w:tc>
      </w:tr>
      <w:tr w:rsidTr="00630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7B">
            <w:pPr>
              <w:pStyle w:val="BodyText"/>
              <w:rPr>
                <w:lang w:val="en-NZ"/>
              </w:rPr>
            </w:pPr>
            <w:r w:rsidRPr="00EC0F7B">
              <w:rPr>
                <w:rStyle w:val="BoldandItalics"/>
              </w:rPr>
              <w:t>Court protocols</w:t>
            </w:r>
            <w:r w:rsidRPr="00EC0F7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7B" w:rsidP="00EC0F7B">
            <w:pPr>
              <w:pStyle w:val="ListBullet"/>
            </w:pPr>
            <w:r w:rsidRPr="00EC0F7B">
              <w:t>standards of attire</w:t>
            </w:r>
          </w:p>
          <w:p w:rsidR="00000000" w:rsidP="00EC0F7B">
            <w:pPr>
              <w:pStyle w:val="ListBullet"/>
              <w:rPr>
                <w:lang w:val="en-NZ"/>
              </w:rPr>
            </w:pPr>
            <w:r w:rsidRPr="00EC0F7B">
              <w:t>forms of address</w:t>
            </w:r>
          </w:p>
        </w:tc>
      </w:tr>
      <w:tr w:rsidTr="00630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7B">
            <w:pPr>
              <w:pStyle w:val="BodyText"/>
              <w:rPr>
                <w:lang w:val="en-NZ"/>
              </w:rPr>
            </w:pPr>
            <w:r w:rsidRPr="00EC0F7B">
              <w:rPr>
                <w:rStyle w:val="BoldandItalics"/>
              </w:rPr>
              <w:t>Court proceedings</w:t>
            </w:r>
            <w:r w:rsidRPr="00EC0F7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7B" w:rsidP="00EC0F7B">
            <w:pPr>
              <w:pStyle w:val="ListBullet"/>
            </w:pPr>
            <w:r w:rsidRPr="00EC0F7B">
              <w:t>rules of court</w:t>
            </w:r>
          </w:p>
          <w:p w:rsidR="00000000" w:rsidP="00EC0F7B">
            <w:pPr>
              <w:pStyle w:val="ListBullet"/>
              <w:rPr>
                <w:lang w:val="en-NZ"/>
              </w:rPr>
            </w:pPr>
            <w:r w:rsidRPr="00EC0F7B">
              <w:t>judicial and quasi judicial tribunals</w:t>
            </w:r>
          </w:p>
        </w:tc>
      </w:tr>
      <w:tr w:rsidTr="00630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7B">
            <w:pPr>
              <w:pStyle w:val="BodyText"/>
              <w:rPr>
                <w:lang w:val="en-NZ"/>
              </w:rPr>
            </w:pPr>
            <w:r w:rsidRPr="00EC0F7B">
              <w:rPr>
                <w:rStyle w:val="BoldandItalics"/>
              </w:rPr>
              <w:t xml:space="preserve">Legal brief </w:t>
            </w:r>
            <w:r w:rsidRPr="00EC0F7B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7B" w:rsidP="00EC0F7B">
            <w:pPr>
              <w:pStyle w:val="ListBullet"/>
            </w:pPr>
            <w:r w:rsidRPr="00EC0F7B">
              <w:t>All documentation relevant to the preparation for legal proceedings such as precedents</w:t>
            </w:r>
          </w:p>
          <w:p w:rsidR="00000000" w:rsidRPr="00EC0F7B" w:rsidP="00EC0F7B">
            <w:pPr>
              <w:pStyle w:val="ListBullet"/>
            </w:pPr>
            <w:r w:rsidRPr="00EC0F7B">
              <w:t>witness statements</w:t>
            </w:r>
          </w:p>
          <w:p w:rsidR="00000000" w:rsidRPr="00EC0F7B" w:rsidP="00EC0F7B">
            <w:pPr>
              <w:pStyle w:val="ListBullet"/>
            </w:pPr>
            <w:r w:rsidRPr="00EC0F7B">
              <w:t>records of evidence</w:t>
            </w:r>
          </w:p>
          <w:p w:rsidR="00000000" w:rsidRPr="00EC0F7B" w:rsidP="00EC0F7B">
            <w:pPr>
              <w:pStyle w:val="ListBullet"/>
            </w:pPr>
            <w:r w:rsidRPr="00EC0F7B">
              <w:t>investigator's reports</w:t>
            </w:r>
          </w:p>
          <w:p w:rsidR="00000000" w:rsidRPr="00EC0F7B" w:rsidP="00EC0F7B">
            <w:pPr>
              <w:pStyle w:val="ListBullet"/>
            </w:pPr>
            <w:r w:rsidRPr="00EC0F7B">
              <w:t>media footage</w:t>
            </w:r>
          </w:p>
          <w:p w:rsidR="00000000" w:rsidRPr="00EC0F7B" w:rsidP="00EC0F7B">
            <w:pPr>
              <w:pStyle w:val="ListBullet"/>
            </w:pPr>
            <w:r w:rsidRPr="00EC0F7B">
              <w:t>log books</w:t>
            </w:r>
          </w:p>
        </w:tc>
      </w:tr>
    </w:tbl>
    <w:p w:rsidR="00000000" w:rsidRPr="00EC0F7B" w:rsidP="00EC0F7B">
      <w:pPr>
        <w:pStyle w:val="BodyText"/>
      </w:pPr>
    </w:p>
    <w:p w:rsidR="00000000" w:rsidRPr="00EC0F7B" w:rsidP="00EC0F7B">
      <w:pPr>
        <w:pStyle w:val="AllowPageBreak"/>
      </w:pPr>
    </w:p>
    <w:p w:rsidR="00000000" w:rsidRPr="00EC0F7B" w:rsidP="00EC0F7B">
      <w:pPr>
        <w:pStyle w:val="Heading1"/>
      </w:pPr>
      <w:bookmarkStart w:id="12" w:name="O_458526"/>
      <w:bookmarkEnd w:id="12"/>
      <w:r w:rsidRPr="00EC0F7B">
        <w:t>Unit Sector(s)</w:t>
      </w:r>
    </w:p>
    <w:p w:rsidR="00000000" w:rsidRPr="00EC0F7B" w:rsidP="00EC0F7B">
      <w:pPr>
        <w:pStyle w:val="BodyText"/>
      </w:pPr>
      <w:r w:rsidRPr="00EC0F7B">
        <w:t>Not applicable.</w:t>
      </w:r>
    </w:p>
    <w:p w:rsidR="00000000" w:rsidRPr="00EC0F7B" w:rsidP="00EC0F7B"/>
    <w:sectPr w:rsidSect="00EC0F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30B01" w:rsidP="00630B0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B01" w:rsidP="00EC0F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0B01" w:rsidP="00EC0F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30B01" w:rsidP="00EC0F7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7B" w:rsidRPr="00630B01" w:rsidP="00630B0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B01" w:rsidRPr="002D2AF8" w:rsidP="00EC0F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PUALAW004B Represent the organisation in a judicial or quasi-judicial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630B01" w:rsidP="00EC0F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20B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F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F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F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F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F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F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F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F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F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F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F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F7B"/>
  </w:style>
  <w:style w:type="character" w:customStyle="1" w:styleId="Heading1Char">
    <w:name w:val="Heading 1 Char"/>
    <w:basedOn w:val="DefaultParagraphFont"/>
    <w:link w:val="Heading1"/>
    <w:rsid w:val="00EC0F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F7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F7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C0F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F7B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EC0F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0F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0F7B"/>
    <w:rPr>
      <w:b/>
      <w:spacing w:val="0"/>
    </w:rPr>
  </w:style>
  <w:style w:type="paragraph" w:customStyle="1" w:styleId="SuperHeading">
    <w:name w:val="SuperHeading"/>
    <w:basedOn w:val="Normal"/>
    <w:rsid w:val="00EC0F7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C0F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C0F7B"/>
    <w:pPr>
      <w:spacing w:before="60" w:after="60"/>
    </w:pPr>
  </w:style>
  <w:style w:type="character" w:customStyle="1" w:styleId="BoldandItalics">
    <w:name w:val="Bold and Italics"/>
    <w:qFormat/>
    <w:rsid w:val="00EC0F7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C0F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F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F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F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F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F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F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F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F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C0F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F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F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0F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0F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F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F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0F7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0F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F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F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F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F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F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F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F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F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F7B"/>
    <w:rPr>
      <w:i/>
    </w:rPr>
  </w:style>
  <w:style w:type="paragraph" w:styleId="Caption">
    <w:name w:val="caption"/>
    <w:basedOn w:val="BodyText"/>
    <w:next w:val="Normal"/>
    <w:qFormat/>
    <w:rsid w:val="00EC0F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F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F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F7B"/>
  </w:style>
  <w:style w:type="paragraph" w:styleId="TableofFigures">
    <w:name w:val="table of figures"/>
    <w:basedOn w:val="Normal"/>
    <w:next w:val="Normal"/>
    <w:semiHidden/>
    <w:rsid w:val="00EC0F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F7B"/>
    <w:pPr>
      <w:numPr>
        <w:numId w:val="10"/>
      </w:numPr>
    </w:pPr>
  </w:style>
  <w:style w:type="character" w:customStyle="1" w:styleId="WingdingSymbols">
    <w:name w:val="Wingding Symbols"/>
    <w:rsid w:val="00EC0F7B"/>
    <w:rPr>
      <w:rFonts w:ascii="Wingdings" w:hAnsi="Wingdings"/>
    </w:rPr>
  </w:style>
  <w:style w:type="paragraph" w:customStyle="1" w:styleId="TableHeading">
    <w:name w:val="Table Heading"/>
    <w:basedOn w:val="HeadingBase"/>
    <w:rsid w:val="00EC0F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F7B"/>
    <w:rPr>
      <w:color w:val="0033CC"/>
      <w:u w:val="none"/>
    </w:rPr>
  </w:style>
  <w:style w:type="paragraph" w:customStyle="1" w:styleId="BodyTextRight">
    <w:name w:val="Body Text Right"/>
    <w:basedOn w:val="BodyText"/>
    <w:rsid w:val="00EC0F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F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F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F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F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F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F7B"/>
    <w:rPr>
      <w:sz w:val="32"/>
    </w:rPr>
  </w:style>
  <w:style w:type="paragraph" w:customStyle="1" w:styleId="HeadingProcedure">
    <w:name w:val="Heading Procedure"/>
    <w:basedOn w:val="HeadingBase"/>
    <w:next w:val="Normal"/>
    <w:rsid w:val="00EC0F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C0F7B"/>
    <w:pPr>
      <w:ind w:firstLine="0"/>
    </w:pPr>
  </w:style>
  <w:style w:type="paragraph" w:customStyle="1" w:styleId="ListNote">
    <w:name w:val="List Note"/>
    <w:basedOn w:val="List"/>
    <w:rsid w:val="00EC0F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F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F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F7B"/>
    <w:rPr>
      <w:rFonts w:ascii="Courier New" w:hAnsi="Courier New"/>
    </w:rPr>
  </w:style>
  <w:style w:type="paragraph" w:customStyle="1" w:styleId="NoteBullet">
    <w:name w:val="Note Bullet"/>
    <w:basedOn w:val="Note"/>
    <w:rsid w:val="00EC0F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F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F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F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F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0F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F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F7B"/>
    <w:rPr>
      <w:b/>
      <w:smallCaps/>
    </w:rPr>
  </w:style>
  <w:style w:type="paragraph" w:customStyle="1" w:styleId="TableListNumber">
    <w:name w:val="Table List Number"/>
    <w:basedOn w:val="ListNumber"/>
    <w:rsid w:val="00EC0F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F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F7B"/>
    <w:pPr>
      <w:numPr>
        <w:numId w:val="8"/>
      </w:numPr>
    </w:pPr>
  </w:style>
  <w:style w:type="paragraph" w:customStyle="1" w:styleId="ListAlpha2">
    <w:name w:val="List Alpha 2"/>
    <w:basedOn w:val="List2"/>
    <w:rsid w:val="00EC0F7B"/>
    <w:pPr>
      <w:numPr>
        <w:numId w:val="7"/>
      </w:numPr>
    </w:pPr>
  </w:style>
  <w:style w:type="paragraph" w:styleId="List2">
    <w:name w:val="List 2"/>
    <w:basedOn w:val="BodyText"/>
    <w:rsid w:val="00EC0F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F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F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F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F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F7B"/>
    <w:pPr>
      <w:numPr>
        <w:numId w:val="2"/>
      </w:numPr>
    </w:pPr>
  </w:style>
  <w:style w:type="paragraph" w:styleId="ListBullet5">
    <w:name w:val="List Bullet 5"/>
    <w:basedOn w:val="List5"/>
    <w:rsid w:val="00EC0F7B"/>
    <w:pPr>
      <w:numPr>
        <w:numId w:val="3"/>
      </w:numPr>
    </w:pPr>
  </w:style>
  <w:style w:type="paragraph" w:styleId="ListContinue2">
    <w:name w:val="List Continue 2"/>
    <w:basedOn w:val="List2"/>
    <w:rsid w:val="00EC0F7B"/>
    <w:pPr>
      <w:ind w:firstLine="0"/>
    </w:pPr>
  </w:style>
  <w:style w:type="paragraph" w:styleId="ListContinue3">
    <w:name w:val="List Continue 3"/>
    <w:basedOn w:val="List3"/>
    <w:rsid w:val="00EC0F7B"/>
    <w:pPr>
      <w:ind w:left="1021" w:firstLine="0"/>
    </w:pPr>
  </w:style>
  <w:style w:type="paragraph" w:styleId="ListContinue4">
    <w:name w:val="List Continue 4"/>
    <w:basedOn w:val="List4"/>
    <w:rsid w:val="00EC0F7B"/>
    <w:pPr>
      <w:ind w:firstLine="0"/>
    </w:pPr>
  </w:style>
  <w:style w:type="paragraph" w:styleId="ListContinue5">
    <w:name w:val="List Continue 5"/>
    <w:basedOn w:val="List5"/>
    <w:rsid w:val="00EC0F7B"/>
    <w:pPr>
      <w:ind w:firstLine="0"/>
    </w:pPr>
  </w:style>
  <w:style w:type="paragraph" w:styleId="ListNumber3">
    <w:name w:val="List Number 3"/>
    <w:basedOn w:val="List3"/>
    <w:rsid w:val="00EC0F7B"/>
    <w:pPr>
      <w:numPr>
        <w:numId w:val="4"/>
      </w:numPr>
    </w:pPr>
  </w:style>
  <w:style w:type="paragraph" w:styleId="ListNumber4">
    <w:name w:val="List Number 4"/>
    <w:basedOn w:val="List4"/>
    <w:rsid w:val="00EC0F7B"/>
    <w:pPr>
      <w:numPr>
        <w:numId w:val="5"/>
      </w:numPr>
    </w:pPr>
  </w:style>
  <w:style w:type="paragraph" w:styleId="ListNumber5">
    <w:name w:val="List Number 5"/>
    <w:basedOn w:val="List5"/>
    <w:rsid w:val="00EC0F7B"/>
    <w:pPr>
      <w:numPr>
        <w:numId w:val="6"/>
      </w:numPr>
    </w:pPr>
  </w:style>
  <w:style w:type="paragraph" w:styleId="BlockText">
    <w:name w:val="Block Text"/>
    <w:basedOn w:val="Normal"/>
    <w:rsid w:val="00EC0F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F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F7B"/>
    <w:rPr>
      <w:sz w:val="16"/>
      <w:vertAlign w:val="superscript"/>
    </w:rPr>
  </w:style>
  <w:style w:type="character" w:customStyle="1" w:styleId="Symbols">
    <w:name w:val="Symbols"/>
    <w:basedOn w:val="DefaultParagraphFont"/>
    <w:rsid w:val="00EC0F7B"/>
    <w:rPr>
      <w:rFonts w:ascii="Symbol" w:hAnsi="Symbol"/>
    </w:rPr>
  </w:style>
  <w:style w:type="character" w:customStyle="1" w:styleId="MenuOptions">
    <w:name w:val="Menu Options"/>
    <w:basedOn w:val="DefaultParagraphFont"/>
    <w:rsid w:val="00EC0F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F7B"/>
    <w:rPr>
      <w:b/>
    </w:rPr>
  </w:style>
  <w:style w:type="character" w:customStyle="1" w:styleId="Underlined">
    <w:name w:val="Underlined"/>
    <w:basedOn w:val="DefaultParagraphFont"/>
    <w:rsid w:val="00EC0F7B"/>
    <w:rPr>
      <w:u w:val="single"/>
    </w:rPr>
  </w:style>
  <w:style w:type="paragraph" w:customStyle="1" w:styleId="TableBodyTextRight">
    <w:name w:val="Table Body Text Right"/>
    <w:basedOn w:val="TableBodyText"/>
    <w:rsid w:val="00EC0F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F7B"/>
    <w:rPr>
      <w:sz w:val="18"/>
    </w:rPr>
  </w:style>
  <w:style w:type="paragraph" w:customStyle="1" w:styleId="BodySmallRight">
    <w:name w:val="Body Small Right"/>
    <w:basedOn w:val="BodyTextRight"/>
    <w:rsid w:val="00EC0F7B"/>
    <w:rPr>
      <w:sz w:val="18"/>
      <w:szCs w:val="18"/>
    </w:rPr>
  </w:style>
  <w:style w:type="paragraph" w:customStyle="1" w:styleId="MarginEdition">
    <w:name w:val="Margin Edition"/>
    <w:basedOn w:val="MarginNote"/>
    <w:rsid w:val="00EC0F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F7B"/>
    <w:rPr>
      <w:sz w:val="2"/>
      <w:szCs w:val="2"/>
    </w:rPr>
  </w:style>
  <w:style w:type="character" w:customStyle="1" w:styleId="Small">
    <w:name w:val="Small"/>
    <w:basedOn w:val="DefaultParagraphFont"/>
    <w:rsid w:val="00EC0F7B"/>
    <w:rPr>
      <w:sz w:val="16"/>
    </w:rPr>
  </w:style>
  <w:style w:type="paragraph" w:customStyle="1" w:styleId="WideTable">
    <w:name w:val="Wide Table"/>
    <w:basedOn w:val="Normal"/>
    <w:rsid w:val="00EC0F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F7B"/>
  </w:style>
  <w:style w:type="paragraph" w:styleId="Quote">
    <w:name w:val="Quote"/>
    <w:basedOn w:val="Heading1"/>
    <w:link w:val="QuoteChar"/>
    <w:qFormat/>
    <w:rsid w:val="00EC0F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F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F7B"/>
    <w:pPr>
      <w:pageBreakBefore/>
    </w:pPr>
  </w:style>
  <w:style w:type="paragraph" w:customStyle="1" w:styleId="Border">
    <w:name w:val="Border"/>
    <w:basedOn w:val="Normal"/>
    <w:qFormat/>
    <w:rsid w:val="00EC0F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F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F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F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F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F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F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F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F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F7B"/>
    <w:rPr>
      <w:u w:val="single"/>
    </w:rPr>
  </w:style>
  <w:style w:type="paragraph" w:styleId="BalloonText">
    <w:name w:val="Balloon Text"/>
    <w:basedOn w:val="Normal"/>
    <w:link w:val="BalloonTextChar"/>
    <w:rsid w:val="00EC0F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F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F7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F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F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F7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654</Words>
  <Characters>4063</Characters>
  <Application>Microsoft Office Word</Application>
  <DocSecurity>0</DocSecurity>
  <Lines>163</Lines>
  <Paragraphs>101</Paragraphs>
  <ScaleCrop>false</ScaleCrop>
  <Company>Author-it Software Corporation Ltd.</Company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PUALAW004B Represent the organisation in a judicial or quasi-judicial setting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2012-10-11T22:00:00Z</dcterms:created>
  <dcterms:modified xsi:type="dcterms:W3CDTF">2012-10-11T22:00:00Z</dcterms:modified>
</cp:coreProperties>
</file>