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4394" w:rsidP="00E743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PUAFIR608A Investigate fatal fires</w:t>
      </w:r>
      <w:r>
        <w:fldChar w:fldCharType="end"/>
      </w:r>
    </w:p>
    <w:p w:rsidR="00E74394" w:rsidP="00E74394">
      <w:pPr>
        <w:pStyle w:val="Version"/>
        <w:sectPr w:rsidSect="00A817C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A817CA" w:rsidP="00A817CA">
      <w:pPr>
        <w:pStyle w:val="SuperHeading"/>
      </w:pPr>
      <w:r w:rsidRPr="00A817CA">
        <w:t>PUAFIR608A Investigate fatal fires</w:t>
      </w:r>
    </w:p>
    <w:p w:rsidR="00000000" w:rsidRPr="00A817CA" w:rsidP="00A817CA">
      <w:pPr>
        <w:pStyle w:val="Heading1"/>
      </w:pPr>
      <w:bookmarkStart w:id="1" w:name="O_570885"/>
      <w:bookmarkEnd w:id="1"/>
      <w:r w:rsidRPr="00A817C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701"/>
        <w:gridCol w:w="4536"/>
      </w:tblGrid>
      <w:tr w:rsidTr="00E743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7CA" w:rsidP="00A817CA">
            <w:pPr>
              <w:pStyle w:val="BodyText"/>
            </w:pPr>
            <w:r w:rsidRPr="00A817CA">
              <w:rPr>
                <w:rStyle w:val="SpecialBold"/>
              </w:rPr>
              <w:t>Release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7CA" w:rsidP="00A817CA">
            <w:pPr>
              <w:pStyle w:val="BodyText"/>
            </w:pPr>
            <w:r w:rsidRPr="00A817CA">
              <w:rPr>
                <w:rStyle w:val="SpecialBold"/>
              </w:rPr>
              <w:t xml:space="preserve">TP Version 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7CA">
            <w:pPr>
              <w:pStyle w:val="BodyText"/>
              <w:rPr>
                <w:lang w:val="en-NZ"/>
              </w:rPr>
            </w:pPr>
            <w:r w:rsidRPr="00A817CA">
              <w:rPr>
                <w:rStyle w:val="SpecialBold"/>
              </w:rPr>
              <w:t>Comments</w:t>
            </w:r>
          </w:p>
        </w:tc>
      </w:tr>
      <w:tr w:rsidTr="00E743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2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7CA">
            <w:pPr>
              <w:pStyle w:val="BodyText"/>
              <w:rPr>
                <w:lang w:val="en-NZ"/>
              </w:rPr>
            </w:pPr>
            <w:r w:rsidRPr="00A817CA">
              <w:t>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7CA">
            <w:pPr>
              <w:pStyle w:val="BodyText"/>
              <w:rPr>
                <w:lang w:val="en-NZ"/>
              </w:rPr>
            </w:pPr>
            <w:r w:rsidRPr="00A817CA">
              <w:t>PUA12 V2.1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7CA">
            <w:pPr>
              <w:pStyle w:val="BodyText"/>
              <w:rPr>
                <w:lang w:val="en-NZ"/>
              </w:rPr>
            </w:pPr>
            <w:r w:rsidRPr="00A817CA">
              <w:t xml:space="preserve">Editorial changes. </w:t>
            </w:r>
          </w:p>
        </w:tc>
      </w:tr>
      <w:tr w:rsidTr="00E743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7CA">
            <w:pPr>
              <w:pStyle w:val="BodyText"/>
              <w:rPr>
                <w:lang w:val="en-NZ"/>
              </w:rPr>
            </w:pPr>
            <w:r w:rsidRPr="00A817CA"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7CA">
            <w:pPr>
              <w:pStyle w:val="BodyText"/>
              <w:rPr>
                <w:lang w:val="en-NZ"/>
              </w:rPr>
            </w:pPr>
            <w:r w:rsidRPr="00A817CA">
              <w:t>PUA12 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7CA">
            <w:pPr>
              <w:pStyle w:val="BodyText"/>
              <w:rPr>
                <w:lang w:val="en-NZ"/>
              </w:rPr>
            </w:pPr>
            <w:r w:rsidRPr="00A817CA">
              <w:t>Layout adjusted. No changes to content</w:t>
            </w:r>
          </w:p>
        </w:tc>
      </w:tr>
      <w:tr w:rsidTr="00E743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7CA">
            <w:pPr>
              <w:pStyle w:val="BodyText"/>
              <w:rPr>
                <w:lang w:val="en-NZ"/>
              </w:rPr>
            </w:pPr>
            <w:r w:rsidRPr="00A817CA"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7CA">
            <w:pPr>
              <w:pStyle w:val="BodyText"/>
              <w:rPr>
                <w:lang w:val="en-NZ"/>
              </w:rPr>
            </w:pPr>
            <w:r w:rsidRPr="00A817CA">
              <w:t>PUA00 V8.1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7CA" w:rsidP="00A817CA">
            <w:pPr>
              <w:pStyle w:val="BodyText"/>
            </w:pPr>
            <w:r w:rsidRPr="00A817CA">
              <w:t>Primary release on TGA</w:t>
            </w:r>
          </w:p>
        </w:tc>
      </w:tr>
    </w:tbl>
    <w:p w:rsidR="00E74394" w:rsidP="00A817CA">
      <w:pPr>
        <w:pStyle w:val="BodyText"/>
      </w:pPr>
    </w:p>
    <w:p w:rsidR="00E74394" w:rsidP="00A817CA">
      <w:pPr>
        <w:pStyle w:val="BodyText"/>
      </w:pPr>
    </w:p>
    <w:p w:rsidR="00000000" w:rsidRPr="00A817CA" w:rsidP="00A817CA">
      <w:pPr>
        <w:pStyle w:val="Heading1"/>
      </w:pPr>
      <w:bookmarkStart w:id="2" w:name="O_570884"/>
      <w:bookmarkEnd w:id="2"/>
      <w:r w:rsidRPr="00A817CA">
        <w:t>Unit Descriptor</w:t>
      </w:r>
    </w:p>
    <w:p w:rsidR="00000000" w:rsidRPr="00A817CA" w:rsidP="00A817CA">
      <w:pPr>
        <w:pStyle w:val="BodyText"/>
      </w:pPr>
      <w:r w:rsidRPr="00A817CA">
        <w:t xml:space="preserve">This unit covers the competency required to undertake an investigation of a fire involving a fatality/ies. </w:t>
      </w:r>
    </w:p>
    <w:p w:rsidR="00E74394" w:rsidP="00A817CA">
      <w:pPr>
        <w:pStyle w:val="BodyText"/>
      </w:pPr>
      <w:r w:rsidRPr="00A817CA">
        <w:t>No licensing, legislative, regulatory or certification requirements apply to this unit at the time of publication.</w:t>
      </w:r>
    </w:p>
    <w:p w:rsidR="00E74394" w:rsidP="00A817CA">
      <w:pPr>
        <w:pStyle w:val="BodyText"/>
      </w:pPr>
    </w:p>
    <w:p w:rsidR="00000000" w:rsidRPr="00A817CA" w:rsidP="00A817CA">
      <w:pPr>
        <w:pStyle w:val="Heading1"/>
      </w:pPr>
      <w:bookmarkStart w:id="3" w:name="O_570883"/>
      <w:bookmarkEnd w:id="3"/>
      <w:r w:rsidRPr="00A817CA">
        <w:t xml:space="preserve">Application of </w:t>
      </w:r>
      <w:r w:rsidRPr="00A817CA">
        <w:t>the Unit</w:t>
      </w:r>
    </w:p>
    <w:p w:rsidR="00000000" w:rsidRPr="00A817CA" w:rsidP="00A817CA">
      <w:pPr>
        <w:pStyle w:val="BodyText"/>
      </w:pPr>
      <w:r w:rsidRPr="00A817CA">
        <w:t xml:space="preserve">Application of this unit is relevant to specialist fire investigators who are required to apply a systematic approach to the investigation of a fatality/ies at a fire scene. </w:t>
      </w:r>
    </w:p>
    <w:p w:rsidR="00000000" w:rsidRPr="00A817CA" w:rsidP="00A817CA">
      <w:pPr>
        <w:pStyle w:val="AllowPageBreak"/>
      </w:pPr>
    </w:p>
    <w:p w:rsidR="00000000" w:rsidRPr="00A817CA" w:rsidP="00A817CA">
      <w:pPr>
        <w:pStyle w:val="Heading1"/>
      </w:pPr>
      <w:bookmarkStart w:id="4" w:name="O_570882"/>
      <w:bookmarkEnd w:id="4"/>
      <w:r w:rsidRPr="00A817CA">
        <w:t>Licensing/Regulatory Information</w:t>
      </w:r>
    </w:p>
    <w:p w:rsidR="00000000" w:rsidRPr="00A817CA" w:rsidP="00A817CA">
      <w:pPr>
        <w:pStyle w:val="BodyText"/>
      </w:pPr>
      <w:r w:rsidRPr="00A817CA">
        <w:t>Not applicable.</w:t>
      </w:r>
    </w:p>
    <w:p w:rsidR="00000000" w:rsidRPr="00A817CA" w:rsidP="00A817CA">
      <w:pPr>
        <w:pStyle w:val="AllowPageBreak"/>
      </w:pPr>
    </w:p>
    <w:p w:rsidR="00000000" w:rsidRPr="00A817CA" w:rsidP="00A817CA">
      <w:pPr>
        <w:pStyle w:val="Heading1"/>
      </w:pPr>
      <w:bookmarkStart w:id="5" w:name="O_570881"/>
      <w:bookmarkEnd w:id="5"/>
      <w:r w:rsidRPr="00A817CA">
        <w:t>Pre-Requisites</w:t>
      </w:r>
    </w:p>
    <w:p w:rsidR="00000000" w:rsidRPr="00A817CA" w:rsidP="00A817CA">
      <w:pPr>
        <w:pStyle w:val="BodyText"/>
      </w:pPr>
      <w:r w:rsidRPr="00A817CA">
        <w:t>PUAFIR605A Determine origin and cause of mobile property fire (Fire sector specific)</w:t>
      </w:r>
    </w:p>
    <w:p w:rsidR="00000000" w:rsidRPr="00A817CA" w:rsidP="00A817CA">
      <w:pPr>
        <w:pStyle w:val="BodyText"/>
      </w:pPr>
      <w:r w:rsidRPr="00A817CA">
        <w:t>PUAFIR609A Collect, record and coordinate the analysis of physical evidence (Fire sector specific)</w:t>
      </w:r>
    </w:p>
    <w:p w:rsidR="00000000" w:rsidRPr="00A817CA" w:rsidP="00A817CA">
      <w:pPr>
        <w:pStyle w:val="BodyText"/>
      </w:pPr>
      <w:r w:rsidRPr="00A817CA">
        <w:t>And either</w:t>
      </w:r>
    </w:p>
    <w:p w:rsidR="00000000" w:rsidRPr="00A817CA" w:rsidP="00A817CA">
      <w:pPr>
        <w:pStyle w:val="BodyText"/>
      </w:pPr>
      <w:r w:rsidRPr="00A817CA">
        <w:t>PUAFIR603A Determine origin and cau</w:t>
      </w:r>
      <w:r w:rsidRPr="00A817CA">
        <w:t>se of wildfire (Fire sector specific)</w:t>
      </w:r>
    </w:p>
    <w:p w:rsidR="00000000" w:rsidRPr="00A817CA" w:rsidP="00A817CA">
      <w:pPr>
        <w:pStyle w:val="BodyText"/>
      </w:pPr>
      <w:r w:rsidRPr="00A817CA">
        <w:rPr>
          <w:rStyle w:val="SpecialBold"/>
        </w:rPr>
        <w:t>OR</w:t>
      </w:r>
    </w:p>
    <w:p w:rsidR="00E74394" w:rsidP="00A817CA">
      <w:pPr>
        <w:pStyle w:val="BodyText"/>
      </w:pPr>
      <w:r w:rsidRPr="00A817CA">
        <w:t>PUAFIR604A Determine origin and cause of structure fire (Fire sector specific)</w:t>
      </w:r>
    </w:p>
    <w:p w:rsidR="00E74394" w:rsidP="00A817CA">
      <w:pPr>
        <w:pStyle w:val="BodyText"/>
      </w:pPr>
    </w:p>
    <w:p w:rsidR="00000000" w:rsidRPr="00A817CA" w:rsidP="00A817CA">
      <w:pPr>
        <w:pStyle w:val="Heading1"/>
      </w:pPr>
      <w:bookmarkStart w:id="6" w:name="O_570880"/>
      <w:bookmarkEnd w:id="6"/>
      <w:r w:rsidRPr="00A817CA">
        <w:t>Employability Skills Information</w:t>
      </w:r>
    </w:p>
    <w:p w:rsidR="00000000" w:rsidRPr="00A817CA" w:rsidP="00A817CA">
      <w:pPr>
        <w:pStyle w:val="BodyText"/>
      </w:pPr>
      <w:r w:rsidRPr="00A817CA">
        <w:t>This unit contains employability skills.</w:t>
      </w:r>
    </w:p>
    <w:p w:rsidR="00000000" w:rsidRPr="00A817CA" w:rsidP="00A817CA">
      <w:pPr>
        <w:pStyle w:val="AllowPageBreak"/>
      </w:pPr>
    </w:p>
    <w:p w:rsidR="00000000" w:rsidRPr="00A817CA" w:rsidP="00A817CA">
      <w:pPr>
        <w:pStyle w:val="Heading1"/>
      </w:pPr>
      <w:bookmarkStart w:id="7" w:name="O_570879"/>
      <w:bookmarkEnd w:id="7"/>
      <w:r w:rsidRPr="00A817CA">
        <w:t>Elements and Performance Cr</w:t>
      </w:r>
      <w:r w:rsidRPr="00A817CA">
        <w:t>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20"/>
        <w:gridCol w:w="6269"/>
      </w:tblGrid>
      <w:tr w:rsidTr="00E743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7CA">
            <w:pPr>
              <w:pStyle w:val="BodyText"/>
              <w:rPr>
                <w:lang w:val="en-NZ"/>
              </w:rPr>
            </w:pPr>
            <w:r w:rsidRPr="00A817CA">
              <w:t>Elements describe the essential outcomes of a Unit of Competency.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7CA" w:rsidP="00A817CA">
            <w:pPr>
              <w:pStyle w:val="BodyText"/>
            </w:pPr>
            <w:r w:rsidRPr="00A817CA">
              <w:t xml:space="preserve">Performance Criteria describe the required performance needed to demonstrate achievement of the element. Where </w:t>
            </w:r>
            <w:r w:rsidRPr="00A817CA">
              <w:rPr>
                <w:rStyle w:val="BoldandItalics"/>
              </w:rPr>
              <w:t>bold italicised</w:t>
            </w:r>
            <w:r w:rsidRPr="00A817CA">
              <w:t xml:space="preserve"> text is used, further information is detaile</w:t>
            </w:r>
            <w:r w:rsidRPr="00A817CA">
              <w:t>d in the Required Skills and Knowledge and/or the Range Statement. Assessment of performance is to be consistent with the Evidence Guide.</w:t>
            </w:r>
          </w:p>
        </w:tc>
      </w:tr>
    </w:tbl>
    <w:p w:rsidR="00000000" w:rsidRPr="00A817CA" w:rsidP="00A817CA">
      <w:pPr>
        <w:pStyle w:val="BodyText"/>
      </w:pPr>
    </w:p>
    <w:p w:rsidR="00000000" w:rsidRPr="00A817CA" w:rsidP="00A817CA">
      <w:pPr>
        <w:pStyle w:val="AllowPageBreak"/>
      </w:pPr>
    </w:p>
    <w:p w:rsidR="00000000" w:rsidRPr="00A817CA" w:rsidP="00A817CA">
      <w:pPr>
        <w:pStyle w:val="Heading1"/>
      </w:pPr>
      <w:bookmarkStart w:id="8" w:name="O_570878"/>
      <w:bookmarkEnd w:id="8"/>
      <w:r w:rsidRPr="00A817C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20"/>
        <w:gridCol w:w="6269"/>
      </w:tblGrid>
      <w:tr w:rsidTr="00A817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7CA" w:rsidP="00A817CA">
            <w:pPr>
              <w:pStyle w:val="BodyText"/>
            </w:pPr>
            <w:r w:rsidRPr="00A817CA">
              <w:rPr>
                <w:rStyle w:val="SpecialBold"/>
              </w:rPr>
              <w:t>ELEMENT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7CA">
            <w:pPr>
              <w:pStyle w:val="BodyText"/>
              <w:rPr>
                <w:lang w:val="en-NZ"/>
              </w:rPr>
            </w:pPr>
            <w:r w:rsidRPr="00A817CA">
              <w:rPr>
                <w:rStyle w:val="SpecialBold"/>
              </w:rPr>
              <w:t>PERFORMANCE CRITERIA</w:t>
            </w:r>
          </w:p>
        </w:tc>
      </w:tr>
      <w:tr w:rsidTr="00A817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7CA">
            <w:pPr>
              <w:pStyle w:val="ListBullet"/>
              <w:rPr>
                <w:lang w:val="en-NZ"/>
              </w:rPr>
            </w:pPr>
            <w:r w:rsidRPr="00A817CA">
              <w:rPr>
                <w:rStyle w:val="SpecialBold"/>
              </w:rPr>
              <w:t>1.</w:t>
            </w:r>
            <w:r w:rsidRPr="00A817CA">
              <w:rPr>
                <w:rStyle w:val="SpecialBold"/>
              </w:rPr>
              <w:tab/>
            </w:r>
            <w:r w:rsidRPr="00A817CA">
              <w:rPr>
                <w:rStyle w:val="SpecialBold"/>
              </w:rPr>
              <w:t>Assess impact of fire on human remains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7CA" w:rsidP="00A817CA">
            <w:pPr>
              <w:pStyle w:val="ListBullet"/>
            </w:pPr>
            <w:r w:rsidRPr="00A817CA">
              <w:t>1.1</w:t>
            </w:r>
            <w:r w:rsidRPr="00A817CA">
              <w:tab/>
              <w:t>Presence of human remains is identified and confirmed at the scene and processed in accordance with coronial/agency requirements</w:t>
            </w:r>
          </w:p>
          <w:p w:rsidR="00000000" w:rsidRPr="00A817CA" w:rsidP="00A817CA">
            <w:pPr>
              <w:pStyle w:val="ListBullet"/>
            </w:pPr>
            <w:r w:rsidRPr="00A817CA">
              <w:t>1.2</w:t>
            </w:r>
            <w:r w:rsidRPr="00A817CA">
              <w:tab/>
            </w:r>
            <w:r w:rsidRPr="00A817CA">
              <w:t>Appropriate notifications (to coronial services, police etc.) are made in accordance with statutory and agency procedures</w:t>
            </w:r>
          </w:p>
          <w:p w:rsidR="00000000" w:rsidRPr="00A817CA" w:rsidP="00A817CA">
            <w:pPr>
              <w:pStyle w:val="ListBullet"/>
            </w:pPr>
            <w:r w:rsidRPr="00A817CA">
              <w:t>1.3</w:t>
            </w:r>
            <w:r w:rsidRPr="00A817CA">
              <w:rPr>
                <w:rStyle w:val="BoldandItalics"/>
              </w:rPr>
              <w:tab/>
              <w:t>Effect of heat range fire on human remains</w:t>
            </w:r>
            <w:r w:rsidRPr="00A817CA">
              <w:t xml:space="preserve"> is assessed</w:t>
            </w:r>
          </w:p>
          <w:p w:rsidR="00000000" w:rsidRPr="00A817CA" w:rsidP="00A817CA">
            <w:pPr>
              <w:pStyle w:val="ListBullet"/>
            </w:pPr>
            <w:r w:rsidRPr="00A817CA">
              <w:t>1.4</w:t>
            </w:r>
            <w:r w:rsidRPr="00A817CA">
              <w:tab/>
              <w:t>Visible burn patterns and injuries on human remains are identified, ass</w:t>
            </w:r>
            <w:r w:rsidRPr="00A817CA">
              <w:t>essed and documented</w:t>
            </w:r>
          </w:p>
          <w:p w:rsidR="00000000" w:rsidP="00A817CA">
            <w:pPr>
              <w:pStyle w:val="ListBullet"/>
              <w:rPr>
                <w:lang w:val="en-NZ"/>
              </w:rPr>
            </w:pPr>
            <w:r w:rsidRPr="00A817CA">
              <w:t>1.5</w:t>
            </w:r>
            <w:r w:rsidRPr="00A817CA">
              <w:rPr>
                <w:rStyle w:val="BoldandItalics"/>
              </w:rPr>
              <w:tab/>
              <w:t>Origin and cause determination</w:t>
            </w:r>
            <w:r w:rsidRPr="00A817CA">
              <w:t xml:space="preserve"> options are assessed</w:t>
            </w:r>
          </w:p>
        </w:tc>
      </w:tr>
      <w:tr w:rsidTr="00A817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7CA">
            <w:pPr>
              <w:pStyle w:val="ListBullet"/>
              <w:rPr>
                <w:lang w:val="en-NZ"/>
              </w:rPr>
            </w:pPr>
            <w:r w:rsidRPr="00A817CA">
              <w:rPr>
                <w:rStyle w:val="SpecialBold"/>
              </w:rPr>
              <w:t>2.</w:t>
            </w:r>
            <w:r w:rsidRPr="00A817CA">
              <w:rPr>
                <w:rStyle w:val="SpecialBold"/>
              </w:rPr>
              <w:tab/>
              <w:t>Examine factors impacting on origin and cause of death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7CA" w:rsidP="00A817CA">
            <w:pPr>
              <w:pStyle w:val="ListBullet"/>
            </w:pPr>
            <w:r w:rsidRPr="00A817CA">
              <w:t>2.1</w:t>
            </w:r>
            <w:r w:rsidRPr="00A817CA">
              <w:tab/>
              <w:t>Human factors that may have prevented occupant/s escaping from the fire and products of combustion are examined</w:t>
            </w:r>
          </w:p>
          <w:p w:rsidR="00000000" w:rsidRPr="00A817CA" w:rsidP="00A817CA">
            <w:pPr>
              <w:pStyle w:val="ListBullet"/>
            </w:pPr>
            <w:r w:rsidRPr="00A817CA">
              <w:t>2.</w:t>
            </w:r>
            <w:r w:rsidRPr="00A817CA">
              <w:t>2</w:t>
            </w:r>
            <w:r w:rsidRPr="00A817CA">
              <w:tab/>
              <w:t>Structural factors that may have impeded occupant egress from the structure are analysed</w:t>
            </w:r>
          </w:p>
          <w:p w:rsidR="00000000" w:rsidRPr="00A817CA" w:rsidP="00A817CA">
            <w:pPr>
              <w:pStyle w:val="ListBullet"/>
            </w:pPr>
            <w:r w:rsidRPr="00A817CA">
              <w:t>2.3</w:t>
            </w:r>
            <w:r w:rsidRPr="00A817CA">
              <w:tab/>
              <w:t>Effectiveness and operation of early warning detection and suppression systems are assessed</w:t>
            </w:r>
          </w:p>
          <w:p w:rsidR="00000000" w:rsidRPr="00A817CA" w:rsidP="00A817CA">
            <w:pPr>
              <w:pStyle w:val="ListBullet"/>
            </w:pPr>
            <w:r w:rsidRPr="00A817CA">
              <w:t>2.4</w:t>
            </w:r>
            <w:r w:rsidRPr="00A817CA">
              <w:tab/>
              <w:t xml:space="preserve">Observations regarding deceased’s clothing are made and </w:t>
            </w:r>
            <w:r w:rsidRPr="00A817CA">
              <w:rPr>
                <w:rStyle w:val="BoldandItalics"/>
              </w:rPr>
              <w:t>recorded</w:t>
            </w:r>
          </w:p>
          <w:p w:rsidR="00000000" w:rsidP="00A817CA">
            <w:pPr>
              <w:pStyle w:val="ListBullet"/>
              <w:rPr>
                <w:lang w:val="en-NZ"/>
              </w:rPr>
            </w:pPr>
            <w:r w:rsidRPr="00A817CA">
              <w:t>2.5</w:t>
            </w:r>
            <w:r w:rsidRPr="00A817CA">
              <w:tab/>
              <w:t>Observations of human behaviour before, during and after the fire are recorded</w:t>
            </w:r>
          </w:p>
        </w:tc>
      </w:tr>
      <w:tr w:rsidTr="00A817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7CA">
            <w:pPr>
              <w:pStyle w:val="ListBullet"/>
              <w:rPr>
                <w:lang w:val="en-NZ"/>
              </w:rPr>
            </w:pPr>
            <w:r w:rsidRPr="00A817CA">
              <w:rPr>
                <w:rStyle w:val="SpecialBold"/>
              </w:rPr>
              <w:t>3.</w:t>
            </w:r>
            <w:r w:rsidRPr="00A817CA">
              <w:rPr>
                <w:rStyle w:val="SpecialBold"/>
              </w:rPr>
              <w:tab/>
              <w:t>Implement procedures for recovery of human remains and report findings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7CA" w:rsidP="00A817CA">
            <w:pPr>
              <w:pStyle w:val="ListBullet"/>
            </w:pPr>
            <w:r w:rsidRPr="00A817CA">
              <w:t>3.1</w:t>
            </w:r>
            <w:r w:rsidRPr="00A817CA">
              <w:rPr>
                <w:rStyle w:val="BoldandItalics"/>
              </w:rPr>
              <w:tab/>
              <w:t>Occupational health and safety</w:t>
            </w:r>
            <w:r w:rsidRPr="00A817CA">
              <w:t xml:space="preserve"> </w:t>
            </w:r>
            <w:r w:rsidRPr="00A817CA">
              <w:rPr>
                <w:rStyle w:val="BoldandItalics"/>
              </w:rPr>
              <w:t>(OHS)</w:t>
            </w:r>
            <w:r w:rsidRPr="00A817CA">
              <w:t xml:space="preserve"> </w:t>
            </w:r>
            <w:r w:rsidRPr="00A817CA">
              <w:rPr>
                <w:rStyle w:val="BoldandItalics"/>
              </w:rPr>
              <w:t>procedures</w:t>
            </w:r>
            <w:r w:rsidRPr="00A817CA">
              <w:t xml:space="preserve"> for removal of human remains are implemented</w:t>
            </w:r>
          </w:p>
          <w:p w:rsidR="00000000" w:rsidRPr="00A817CA" w:rsidP="00A817CA">
            <w:pPr>
              <w:pStyle w:val="ListBullet"/>
            </w:pPr>
            <w:r w:rsidRPr="00A817CA">
              <w:t>3.2</w:t>
            </w:r>
            <w:r w:rsidRPr="00A817CA">
              <w:tab/>
              <w:t>Disaster victim identification procedures are implemented as required</w:t>
            </w:r>
          </w:p>
          <w:p w:rsidR="00000000" w:rsidRPr="00A817CA" w:rsidP="00A817CA">
            <w:pPr>
              <w:pStyle w:val="ListBullet"/>
            </w:pPr>
            <w:r w:rsidRPr="00A817CA">
              <w:t>3.3</w:t>
            </w:r>
            <w:r w:rsidRPr="00A817CA">
              <w:tab/>
              <w:t>Methods of protecting human remains prior to removal from a fire scene are implemented</w:t>
            </w:r>
          </w:p>
          <w:p w:rsidR="00000000" w:rsidRPr="00A817CA" w:rsidP="00A817CA">
            <w:pPr>
              <w:pStyle w:val="ListBullet"/>
            </w:pPr>
            <w:r w:rsidRPr="00A817CA">
              <w:t>3.4</w:t>
            </w:r>
            <w:r w:rsidRPr="00A817CA">
              <w:tab/>
              <w:t>Methods to ensure all human remains are collected from a fire scene are implemented</w:t>
            </w:r>
          </w:p>
          <w:p w:rsidR="00000000" w:rsidRPr="00A817CA" w:rsidP="00A817CA">
            <w:pPr>
              <w:pStyle w:val="ListBullet"/>
            </w:pPr>
            <w:r w:rsidRPr="00A817CA">
              <w:t>3.5</w:t>
            </w:r>
            <w:r w:rsidRPr="00A817CA">
              <w:tab/>
              <w:t>Consequential damage to human remains is recorded and reported to the appropriate authority</w:t>
            </w:r>
          </w:p>
          <w:p w:rsidR="00000000" w:rsidRPr="00A817CA" w:rsidP="00A817CA">
            <w:pPr>
              <w:pStyle w:val="ListBullet"/>
            </w:pPr>
            <w:r w:rsidRPr="00A817CA">
              <w:t>3.6</w:t>
            </w:r>
            <w:r w:rsidRPr="00A817CA">
              <w:tab/>
              <w:t>Human remains collected from a fire scene are</w:t>
            </w:r>
            <w:r w:rsidRPr="00A817CA">
              <w:rPr>
                <w:rStyle w:val="BoldandItalics"/>
              </w:rPr>
              <w:t xml:space="preserve"> </w:t>
            </w:r>
            <w:r w:rsidRPr="00A817CA">
              <w:t>recorded according to agency procedures</w:t>
            </w:r>
          </w:p>
          <w:p w:rsidR="00000000" w:rsidRPr="00A817CA" w:rsidP="00A817CA">
            <w:pPr>
              <w:pStyle w:val="ListBullet"/>
            </w:pPr>
            <w:r w:rsidRPr="00A817CA">
              <w:t>3.7</w:t>
            </w:r>
            <w:r w:rsidRPr="00A817CA">
              <w:tab/>
              <w:t>Appropriate techniques to minimise evidence deterioration are foll</w:t>
            </w:r>
            <w:r w:rsidRPr="00A817CA">
              <w:t>owed</w:t>
            </w:r>
          </w:p>
          <w:p w:rsidR="00000000" w:rsidRPr="00A817CA" w:rsidP="00A817CA">
            <w:pPr>
              <w:pStyle w:val="ListBullet"/>
            </w:pPr>
            <w:r w:rsidRPr="00A817CA">
              <w:t>3.8</w:t>
            </w:r>
            <w:r w:rsidRPr="00A817CA">
              <w:tab/>
              <w:t>Appropriate techniques and equipment are used for scene analysis, reconstruction and testing of hypothesis</w:t>
            </w:r>
          </w:p>
          <w:p w:rsidR="00000000" w:rsidRPr="00A817CA" w:rsidP="00A817CA">
            <w:pPr>
              <w:pStyle w:val="ListBullet"/>
            </w:pPr>
            <w:r w:rsidRPr="00A817CA">
              <w:t>3.9</w:t>
            </w:r>
            <w:r w:rsidRPr="00A817CA">
              <w:tab/>
              <w:t xml:space="preserve">Investigation report is completed and forwarded to appropriate authorities/stakeholders </w:t>
            </w:r>
          </w:p>
        </w:tc>
      </w:tr>
    </w:tbl>
    <w:p w:rsidR="00000000" w:rsidRPr="00A817CA" w:rsidP="00A817CA">
      <w:pPr>
        <w:pStyle w:val="BodyText"/>
      </w:pPr>
    </w:p>
    <w:p w:rsidR="00000000" w:rsidRPr="00A817CA" w:rsidP="00A817CA">
      <w:pPr>
        <w:pStyle w:val="AllowPageBreak"/>
      </w:pPr>
    </w:p>
    <w:p w:rsidR="00000000" w:rsidRPr="00A817CA" w:rsidP="00A817CA">
      <w:pPr>
        <w:pStyle w:val="Heading1"/>
      </w:pPr>
      <w:bookmarkStart w:id="9" w:name="O_570877"/>
      <w:bookmarkEnd w:id="9"/>
      <w:r w:rsidRPr="00A817CA">
        <w:t>Required Skills and Knowledg</w:t>
      </w:r>
      <w:r w:rsidRPr="00A817CA">
        <w:t>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789"/>
      </w:tblGrid>
      <w:tr w:rsidTr="00A817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7CA">
            <w:pPr>
              <w:pStyle w:val="BodyText"/>
              <w:rPr>
                <w:lang w:val="en-NZ"/>
              </w:rPr>
            </w:pPr>
            <w:r w:rsidRPr="00A817CA">
              <w:rPr>
                <w:rStyle w:val="SpecialBold"/>
              </w:rPr>
              <w:t>Required Skills</w:t>
            </w:r>
          </w:p>
        </w:tc>
      </w:tr>
      <w:tr w:rsidTr="00A817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7CA" w:rsidP="00A817CA">
            <w:pPr>
              <w:pStyle w:val="ListBullet"/>
            </w:pPr>
            <w:r w:rsidRPr="00A817CA">
              <w:t>accurately record information</w:t>
            </w:r>
          </w:p>
          <w:p w:rsidR="00000000" w:rsidRPr="00A817CA" w:rsidP="00A817CA">
            <w:pPr>
              <w:pStyle w:val="ListBullet"/>
            </w:pPr>
            <w:r w:rsidRPr="00A817CA">
              <w:t>interview potential witnesses (members of the public, emergency services personnel, members of statutory agencies, property owners/occupants)</w:t>
            </w:r>
          </w:p>
          <w:p w:rsidR="00000000" w:rsidRPr="00A817CA" w:rsidP="00A817CA">
            <w:pPr>
              <w:pStyle w:val="ListBullet"/>
            </w:pPr>
            <w:r w:rsidRPr="00A817CA">
              <w:t>prepare reports</w:t>
            </w:r>
          </w:p>
          <w:p w:rsidR="00000000" w:rsidP="00A817CA">
            <w:pPr>
              <w:pStyle w:val="ListBullet"/>
              <w:rPr>
                <w:lang w:val="en-NZ"/>
              </w:rPr>
            </w:pPr>
            <w:r w:rsidRPr="00A817CA">
              <w:t>take notes to support research and court preparation</w:t>
            </w:r>
          </w:p>
        </w:tc>
      </w:tr>
      <w:tr w:rsidTr="00A817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7CA">
            <w:pPr>
              <w:pStyle w:val="BodyText"/>
              <w:rPr>
                <w:lang w:val="en-NZ"/>
              </w:rPr>
            </w:pPr>
            <w:r w:rsidRPr="00A817CA">
              <w:rPr>
                <w:rStyle w:val="SpecialBold"/>
              </w:rPr>
              <w:t>Required Knowledge</w:t>
            </w:r>
          </w:p>
        </w:tc>
      </w:tr>
      <w:tr w:rsidTr="00A817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7CA" w:rsidP="00A817CA">
            <w:pPr>
              <w:pStyle w:val="ListBullet"/>
            </w:pPr>
            <w:r w:rsidRPr="00A817CA">
              <w:t>agency and legal requirements for writing and presenting reports</w:t>
            </w:r>
          </w:p>
          <w:p w:rsidR="00000000" w:rsidRPr="00A817CA" w:rsidP="00A817CA">
            <w:pPr>
              <w:pStyle w:val="ListBullet"/>
            </w:pPr>
            <w:r w:rsidRPr="00A817CA">
              <w:t>common causes of fire (accidental, chemical, deliberate, electrical, incendiary, natural, negligence)</w:t>
            </w:r>
          </w:p>
          <w:p w:rsidR="00000000" w:rsidRPr="00A817CA" w:rsidP="00A817CA">
            <w:pPr>
              <w:pStyle w:val="ListBullet"/>
            </w:pPr>
            <w:r w:rsidRPr="00A817CA">
              <w:t>effects of fir</w:t>
            </w:r>
            <w:r w:rsidRPr="00A817CA">
              <w:t>e on the human body</w:t>
            </w:r>
          </w:p>
          <w:p w:rsidR="00000000" w:rsidRPr="00A817CA" w:rsidP="00A817CA">
            <w:pPr>
              <w:pStyle w:val="ListBullet"/>
            </w:pPr>
            <w:r w:rsidRPr="00A817CA">
              <w:t>evidence collection (admissibility, body bags, collection, continuity, identification, packaging, sampling techniques)</w:t>
            </w:r>
          </w:p>
          <w:p w:rsidR="00000000" w:rsidRPr="00A817CA" w:rsidP="00A817CA">
            <w:pPr>
              <w:pStyle w:val="ListBullet"/>
            </w:pPr>
            <w:r w:rsidRPr="00A817CA">
              <w:t>functional responsibilities and authorities</w:t>
            </w:r>
          </w:p>
          <w:p w:rsidR="00000000" w:rsidRPr="00A817CA" w:rsidP="00A817CA">
            <w:pPr>
              <w:pStyle w:val="ListBullet"/>
            </w:pPr>
            <w:r w:rsidRPr="00A817CA">
              <w:t>memorandums of understanding</w:t>
            </w:r>
          </w:p>
          <w:p w:rsidR="00000000" w:rsidRPr="00A817CA" w:rsidP="00A817CA">
            <w:pPr>
              <w:pStyle w:val="ListBullet"/>
            </w:pPr>
            <w:r w:rsidRPr="00A817CA">
              <w:t>note taking procedures and processes</w:t>
            </w:r>
          </w:p>
          <w:p w:rsidR="00000000" w:rsidRPr="00A817CA" w:rsidP="00A817CA">
            <w:pPr>
              <w:pStyle w:val="ListBullet"/>
            </w:pPr>
            <w:r w:rsidRPr="00A817CA">
              <w:t>OHS reg</w:t>
            </w:r>
            <w:r w:rsidRPr="00A817CA">
              <w:t>ulations</w:t>
            </w:r>
          </w:p>
          <w:p w:rsidR="00000000" w:rsidRPr="00A817CA" w:rsidP="00A817CA">
            <w:pPr>
              <w:pStyle w:val="ListBullet"/>
            </w:pPr>
            <w:r w:rsidRPr="00A817CA">
              <w:t>other regulators</w:t>
            </w:r>
          </w:p>
          <w:p w:rsidR="00000000" w:rsidRPr="00A817CA" w:rsidP="00A817CA">
            <w:pPr>
              <w:pStyle w:val="ListBullet"/>
            </w:pPr>
            <w:r w:rsidRPr="00A817CA">
              <w:t>processes and outcomes of post mortems and coronial inquests</w:t>
            </w:r>
          </w:p>
          <w:p w:rsidR="00000000" w:rsidRPr="00A817CA" w:rsidP="00A817CA">
            <w:pPr>
              <w:pStyle w:val="ListBullet"/>
            </w:pPr>
            <w:r w:rsidRPr="00A817CA">
              <w:t>relevant legislation such as the Fire Service Act, Coroner’s Act, and Criminal Code and Evidence Act</w:t>
            </w:r>
          </w:p>
          <w:p w:rsidR="00000000" w:rsidRPr="00A817CA" w:rsidP="00A817CA">
            <w:pPr>
              <w:pStyle w:val="ListBullet"/>
            </w:pPr>
            <w:r w:rsidRPr="00A817CA">
              <w:t>relevant Australian Standards and international standards such as those that relate to clothing design, fabric, flammability</w:t>
            </w:r>
          </w:p>
          <w:p w:rsidR="00000000" w:rsidRPr="00A817CA" w:rsidP="00A817CA">
            <w:pPr>
              <w:pStyle w:val="ListBullet"/>
            </w:pPr>
            <w:r w:rsidRPr="00A817CA">
              <w:t>rules of evidence including identification, collection and continuity, and admissibility</w:t>
            </w:r>
          </w:p>
          <w:p w:rsidR="00000000" w:rsidRPr="00A817CA" w:rsidP="00A817CA">
            <w:pPr>
              <w:pStyle w:val="ListBullet"/>
            </w:pPr>
            <w:r w:rsidRPr="00A817CA">
              <w:t>safe work practices involving biological h</w:t>
            </w:r>
            <w:r w:rsidRPr="00A817CA">
              <w:t>azards</w:t>
            </w:r>
          </w:p>
          <w:p w:rsidR="00000000" w:rsidRPr="00A817CA" w:rsidP="00A817CA">
            <w:pPr>
              <w:pStyle w:val="ListBullet"/>
            </w:pPr>
            <w:r w:rsidRPr="00A817CA">
              <w:t>standard disaster victim identification procedures</w:t>
            </w:r>
          </w:p>
          <w:p w:rsidR="00000000" w:rsidRPr="00A817CA" w:rsidP="00A817CA">
            <w:pPr>
              <w:pStyle w:val="ListBullet"/>
            </w:pPr>
            <w:r w:rsidRPr="00A817CA">
              <w:t>standard operating procedures for conducting investigations</w:t>
            </w:r>
          </w:p>
        </w:tc>
      </w:tr>
    </w:tbl>
    <w:p w:rsidR="00000000" w:rsidRPr="00A817CA" w:rsidP="00A817CA">
      <w:pPr>
        <w:pStyle w:val="BodyText"/>
      </w:pPr>
    </w:p>
    <w:p w:rsidR="00000000" w:rsidRPr="00A817CA" w:rsidP="00A817CA">
      <w:pPr>
        <w:pStyle w:val="AllowPageBreak"/>
      </w:pPr>
    </w:p>
    <w:p w:rsidR="00000000" w:rsidRPr="00A817CA" w:rsidP="00A817CA">
      <w:pPr>
        <w:pStyle w:val="Heading1"/>
      </w:pPr>
      <w:bookmarkStart w:id="10" w:name="O_570876"/>
      <w:bookmarkEnd w:id="10"/>
      <w:r w:rsidRPr="00A817CA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729"/>
      </w:tblGrid>
      <w:tr w:rsidTr="00A817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7CA">
            <w:pPr>
              <w:pStyle w:val="BodyText"/>
              <w:rPr>
                <w:lang w:val="en-NZ"/>
              </w:rPr>
            </w:pPr>
            <w:r w:rsidRPr="00A817CA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7CA" w:rsidP="00A817CA">
            <w:pPr>
              <w:pStyle w:val="BodyText"/>
            </w:pPr>
            <w:r w:rsidRPr="00A817CA">
              <w:t xml:space="preserve">Assessment </w:t>
            </w:r>
            <w:r w:rsidRPr="00A817CA">
              <w:t>must confirm the ability to:</w:t>
            </w:r>
          </w:p>
          <w:p w:rsidR="00000000" w:rsidRPr="00A817CA" w:rsidP="00A817CA">
            <w:pPr>
              <w:pStyle w:val="ListBullet"/>
            </w:pPr>
            <w:r w:rsidRPr="00A817CA">
              <w:t>apply a systematic approach to the investigation of fatal fires based on scientific method</w:t>
            </w:r>
          </w:p>
          <w:p w:rsidR="00000000" w:rsidRPr="00A817CA" w:rsidP="00A817CA">
            <w:pPr>
              <w:pStyle w:val="ListBullet"/>
            </w:pPr>
            <w:r w:rsidRPr="00A817CA">
              <w:t>apply relevant laws, legislation, codes of practice and standards in fire investigation and court procedures</w:t>
            </w:r>
          </w:p>
          <w:p w:rsidR="00000000" w:rsidRPr="00A817CA" w:rsidP="00A817CA">
            <w:pPr>
              <w:pStyle w:val="ListBullet"/>
            </w:pPr>
            <w:r w:rsidRPr="00A817CA">
              <w:t>interpret findings of</w:t>
            </w:r>
            <w:r w:rsidRPr="00A817CA">
              <w:t xml:space="preserve"> forensic data and physical evidence analyses</w:t>
            </w:r>
          </w:p>
          <w:p w:rsidR="00000000" w:rsidRPr="00A817CA" w:rsidP="00A817CA">
            <w:pPr>
              <w:pStyle w:val="ListBullet"/>
            </w:pPr>
            <w:r w:rsidRPr="00A817CA">
              <w:t>conduct interviews and accurately record information.</w:t>
            </w:r>
          </w:p>
          <w:p w:rsidR="00000000" w:rsidRPr="00A817CA" w:rsidP="00A817CA">
            <w:pPr>
              <w:pStyle w:val="BodyText"/>
            </w:pPr>
            <w:r w:rsidRPr="00A817CA">
              <w:rPr>
                <w:rStyle w:val="SpecialBold"/>
              </w:rPr>
              <w:t>Consistency in performance</w:t>
            </w:r>
          </w:p>
          <w:p w:rsidR="00000000" w:rsidP="00A817CA">
            <w:pPr>
              <w:pStyle w:val="BodyText"/>
              <w:rPr>
                <w:lang w:val="en-NZ"/>
              </w:rPr>
            </w:pPr>
            <w:r w:rsidRPr="00A817CA">
              <w:t>Competency should be demonstrated over time and across a range of workplace and/or simulated situations.</w:t>
            </w:r>
          </w:p>
        </w:tc>
      </w:tr>
      <w:tr w:rsidTr="00A817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7CA" w:rsidP="00A817CA">
            <w:pPr>
              <w:pStyle w:val="BodyText"/>
            </w:pPr>
            <w:r w:rsidRPr="00A817CA">
              <w:rPr>
                <w:rStyle w:val="SpecialBold"/>
              </w:rPr>
              <w:t>Context of and specific</w:t>
            </w:r>
            <w:r w:rsidRPr="00A817CA">
              <w:rPr>
                <w:rStyle w:val="SpecialBold"/>
              </w:rPr>
              <w:t xml:space="preserve"> resources for assessment</w:t>
            </w:r>
          </w:p>
        </w:tc>
        <w:tc>
          <w:tcPr>
            <w:tcW w:w="5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7CA" w:rsidP="00A817CA">
            <w:pPr>
              <w:pStyle w:val="BodyText"/>
            </w:pPr>
            <w:r w:rsidRPr="00A817CA">
              <w:rPr>
                <w:rStyle w:val="SpecialBold"/>
              </w:rPr>
              <w:t>Context of assessment</w:t>
            </w:r>
          </w:p>
          <w:p w:rsidR="00000000" w:rsidRPr="00A817CA" w:rsidP="00A817CA">
            <w:pPr>
              <w:pStyle w:val="BodyText"/>
            </w:pPr>
            <w:r w:rsidRPr="00A817CA">
              <w:t>Competency should be assessed in the workplace and in a simulated workplace environment.</w:t>
            </w:r>
          </w:p>
          <w:p w:rsidR="00000000" w:rsidRPr="00A817CA" w:rsidP="00A817CA">
            <w:pPr>
              <w:pStyle w:val="BodyText"/>
            </w:pPr>
            <w:r w:rsidRPr="00A817CA">
              <w:rPr>
                <w:rStyle w:val="SpecialBold"/>
              </w:rPr>
              <w:t>Specific resources for assessment</w:t>
            </w:r>
          </w:p>
          <w:p w:rsidR="00000000" w:rsidRPr="00A817CA" w:rsidP="00A817CA">
            <w:pPr>
              <w:pStyle w:val="BodyText"/>
            </w:pPr>
            <w:r w:rsidRPr="00A817CA">
              <w:t>Access is required to:</w:t>
            </w:r>
          </w:p>
          <w:p w:rsidR="00000000" w:rsidRPr="00A817CA" w:rsidP="00A817CA">
            <w:pPr>
              <w:pStyle w:val="ListBullet"/>
            </w:pPr>
            <w:r w:rsidRPr="00A817CA">
              <w:t>legislation, policy, procedures and protocols relating to gat</w:t>
            </w:r>
            <w:r w:rsidRPr="00A817CA">
              <w:t>hering and managing evidence</w:t>
            </w:r>
          </w:p>
          <w:p w:rsidR="00000000" w:rsidP="00A817CA">
            <w:pPr>
              <w:pStyle w:val="ListBullet"/>
              <w:rPr>
                <w:lang w:val="en-NZ"/>
              </w:rPr>
            </w:pPr>
            <w:r w:rsidRPr="00A817CA">
              <w:t>case studies and workplace scenarios to capture the range of fire fatalities likely to occur for which evidence needs to be gathered and managed.</w:t>
            </w:r>
          </w:p>
        </w:tc>
      </w:tr>
      <w:tr w:rsidTr="00A817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7CA">
            <w:pPr>
              <w:pStyle w:val="BodyText"/>
              <w:rPr>
                <w:lang w:val="en-NZ"/>
              </w:rPr>
            </w:pPr>
            <w:r w:rsidRPr="00A817CA">
              <w:rPr>
                <w:rStyle w:val="SpecialBold"/>
              </w:rPr>
              <w:t>Guidance information for assessment</w:t>
            </w:r>
          </w:p>
        </w:tc>
        <w:tc>
          <w:tcPr>
            <w:tcW w:w="5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7CA" w:rsidP="00A817CA">
            <w:pPr>
              <w:pStyle w:val="BodyText"/>
            </w:pPr>
            <w:r w:rsidRPr="00A817CA">
              <w:t>Asses</w:t>
            </w:r>
            <w:r w:rsidRPr="00A817CA">
              <w:t>sment methods suitable for valid and reliable assessment of this unit may include a combination of:</w:t>
            </w:r>
          </w:p>
          <w:p w:rsidR="00000000" w:rsidRPr="00A817CA" w:rsidP="00A817CA">
            <w:pPr>
              <w:pStyle w:val="ListBullet"/>
            </w:pPr>
            <w:r w:rsidRPr="00A817CA">
              <w:t>case studies</w:t>
            </w:r>
          </w:p>
          <w:p w:rsidR="00000000" w:rsidRPr="00A817CA" w:rsidP="00A817CA">
            <w:pPr>
              <w:pStyle w:val="ListBullet"/>
            </w:pPr>
            <w:r w:rsidRPr="00A817CA">
              <w:t>demonstration</w:t>
            </w:r>
          </w:p>
          <w:p w:rsidR="00000000" w:rsidRPr="00A817CA" w:rsidP="00A817CA">
            <w:pPr>
              <w:pStyle w:val="ListBullet"/>
            </w:pPr>
            <w:r w:rsidRPr="00A817CA">
              <w:t>observation</w:t>
            </w:r>
          </w:p>
          <w:p w:rsidR="00000000" w:rsidRPr="00A817CA" w:rsidP="00A817CA">
            <w:pPr>
              <w:pStyle w:val="ListBullet"/>
            </w:pPr>
            <w:r w:rsidRPr="00A817CA">
              <w:t>questioning</w:t>
            </w:r>
          </w:p>
          <w:p w:rsidR="00000000" w:rsidRPr="00A817CA" w:rsidP="00A817CA">
            <w:pPr>
              <w:pStyle w:val="ListBullet"/>
            </w:pPr>
            <w:r w:rsidRPr="00A817CA">
              <w:t>scenarios</w:t>
            </w:r>
          </w:p>
          <w:p w:rsidR="00000000" w:rsidRPr="00A817CA" w:rsidP="00A817CA">
            <w:pPr>
              <w:pStyle w:val="ListBullet"/>
            </w:pPr>
            <w:r w:rsidRPr="00A817CA">
              <w:t>authenticated evidence from the workplace.</w:t>
            </w:r>
          </w:p>
        </w:tc>
      </w:tr>
    </w:tbl>
    <w:p w:rsidR="00000000" w:rsidRPr="00A817CA" w:rsidP="00A817CA">
      <w:pPr>
        <w:pStyle w:val="BodyText"/>
      </w:pPr>
    </w:p>
    <w:p w:rsidR="00000000" w:rsidRPr="00A817CA" w:rsidP="00A817CA">
      <w:pPr>
        <w:pStyle w:val="AllowPageBreak"/>
      </w:pPr>
    </w:p>
    <w:p w:rsidR="00000000" w:rsidRPr="00A817CA" w:rsidP="00A817CA">
      <w:pPr>
        <w:pStyle w:val="Heading1"/>
      </w:pPr>
      <w:bookmarkStart w:id="11" w:name="O_570875"/>
      <w:bookmarkEnd w:id="11"/>
      <w:r w:rsidRPr="00A817CA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729"/>
      </w:tblGrid>
      <w:tr w:rsidTr="00A817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7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7CA">
            <w:pPr>
              <w:pStyle w:val="BodyText"/>
              <w:rPr>
                <w:lang w:val="en-NZ"/>
              </w:rPr>
            </w:pPr>
            <w:r w:rsidRPr="00A817CA">
              <w:t>The Range Statem</w:t>
            </w:r>
            <w:r w:rsidRPr="00A817CA">
              <w:t xml:space="preserve">ent relates to the Unit of Competency as a whole. It allows for different work environments and situations that may affect performance. </w:t>
            </w:r>
            <w:r w:rsidRPr="00A817CA">
              <w:rPr>
                <w:rStyle w:val="BoldandItalics"/>
              </w:rPr>
              <w:t>Bold italicised</w:t>
            </w:r>
            <w:r w:rsidRPr="00A817CA">
              <w:t xml:space="preserve"> wording in the Performance Criteria is detailed below.</w:t>
            </w:r>
          </w:p>
        </w:tc>
      </w:tr>
      <w:tr w:rsidTr="00A817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7CA">
            <w:pPr>
              <w:pStyle w:val="BodyText"/>
              <w:rPr>
                <w:lang w:val="en-NZ"/>
              </w:rPr>
            </w:pPr>
            <w:r w:rsidRPr="00A817CA">
              <w:rPr>
                <w:rStyle w:val="BoldandItalics"/>
              </w:rPr>
              <w:t>Effect of heat range fire on human remains</w:t>
            </w:r>
            <w:r w:rsidRPr="00A817CA">
              <w:t xml:space="preserve"> may include:</w:t>
            </w:r>
          </w:p>
        </w:tc>
        <w:tc>
          <w:tcPr>
            <w:tcW w:w="57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7CA" w:rsidP="00A817CA">
            <w:pPr>
              <w:pStyle w:val="ListBullet"/>
            </w:pPr>
            <w:r w:rsidRPr="00A817CA">
              <w:t>Carboxyhemoglobin</w:t>
            </w:r>
          </w:p>
          <w:p w:rsidR="00000000" w:rsidRPr="00A817CA" w:rsidP="00A817CA">
            <w:pPr>
              <w:pStyle w:val="ListBullet"/>
            </w:pPr>
            <w:r w:rsidRPr="00A817CA">
              <w:t>Common injuries (pre and post fire)</w:t>
            </w:r>
          </w:p>
          <w:p w:rsidR="00000000" w:rsidRPr="00A817CA" w:rsidP="00A817CA">
            <w:pPr>
              <w:pStyle w:val="ListBullet"/>
            </w:pPr>
            <w:r w:rsidRPr="00A817CA">
              <w:t>Degrees of burns</w:t>
            </w:r>
          </w:p>
          <w:p w:rsidR="00000000" w:rsidP="00A817CA">
            <w:pPr>
              <w:pStyle w:val="ListBullet"/>
              <w:rPr>
                <w:lang w:val="en-NZ"/>
              </w:rPr>
            </w:pPr>
            <w:r w:rsidRPr="00A817CA">
              <w:t>Effects of products of combustion</w:t>
            </w:r>
          </w:p>
        </w:tc>
      </w:tr>
      <w:tr w:rsidTr="00A817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7CA">
            <w:pPr>
              <w:pStyle w:val="BodyText"/>
              <w:rPr>
                <w:lang w:val="en-NZ"/>
              </w:rPr>
            </w:pPr>
            <w:r w:rsidRPr="00A817CA">
              <w:rPr>
                <w:rStyle w:val="BoldandItalics"/>
              </w:rPr>
              <w:t>Origin and cause determination</w:t>
            </w:r>
            <w:r w:rsidRPr="00A817CA">
              <w:t xml:space="preserve"> may include:</w:t>
            </w:r>
          </w:p>
        </w:tc>
        <w:tc>
          <w:tcPr>
            <w:tcW w:w="57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7CA" w:rsidP="00A817CA">
            <w:pPr>
              <w:pStyle w:val="ListBullet"/>
            </w:pPr>
            <w:r w:rsidRPr="00A817CA">
              <w:t>Identification of ignition sources</w:t>
            </w:r>
          </w:p>
          <w:p w:rsidR="00000000" w:rsidRPr="00A817CA" w:rsidP="00A817CA">
            <w:pPr>
              <w:pStyle w:val="ListBullet"/>
            </w:pPr>
            <w:r w:rsidRPr="00A817CA">
              <w:t>Scene interpretation</w:t>
            </w:r>
          </w:p>
          <w:p w:rsidR="00000000" w:rsidP="00A817CA">
            <w:pPr>
              <w:pStyle w:val="ListBullet"/>
              <w:rPr>
                <w:lang w:val="en-NZ"/>
              </w:rPr>
            </w:pPr>
            <w:r w:rsidRPr="00A817CA">
              <w:t>Scene processing</w:t>
            </w:r>
          </w:p>
        </w:tc>
      </w:tr>
      <w:tr w:rsidTr="00A817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7CA">
            <w:pPr>
              <w:pStyle w:val="BodyText"/>
              <w:rPr>
                <w:lang w:val="en-NZ"/>
              </w:rPr>
            </w:pPr>
            <w:r w:rsidRPr="00A817CA">
              <w:rPr>
                <w:rStyle w:val="BoldandItalics"/>
              </w:rPr>
              <w:t>Recording observations</w:t>
            </w:r>
            <w:r w:rsidRPr="00A817CA">
              <w:t xml:space="preserve"> may include:</w:t>
            </w:r>
          </w:p>
        </w:tc>
        <w:tc>
          <w:tcPr>
            <w:tcW w:w="57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7CA" w:rsidP="00A817CA">
            <w:pPr>
              <w:pStyle w:val="ListBullet"/>
            </w:pPr>
            <w:r w:rsidRPr="00A817CA">
              <w:t>Audio</w:t>
            </w:r>
          </w:p>
          <w:p w:rsidR="00000000" w:rsidRPr="00A817CA" w:rsidP="00A817CA">
            <w:pPr>
              <w:pStyle w:val="ListBullet"/>
            </w:pPr>
            <w:r w:rsidRPr="00A817CA">
              <w:t>Computers</w:t>
            </w:r>
          </w:p>
          <w:p w:rsidR="00000000" w:rsidRPr="00A817CA" w:rsidP="00A817CA">
            <w:pPr>
              <w:pStyle w:val="ListBullet"/>
            </w:pPr>
            <w:r w:rsidRPr="00A817CA">
              <w:t>Notes</w:t>
            </w:r>
          </w:p>
          <w:p w:rsidR="00000000" w:rsidRPr="00A817CA" w:rsidP="00A817CA">
            <w:pPr>
              <w:pStyle w:val="ListBullet"/>
            </w:pPr>
            <w:r w:rsidRPr="00A817CA">
              <w:t>Photography (digital, multimedia, CCTV [closed circuit television], other media images)</w:t>
            </w:r>
          </w:p>
          <w:p w:rsidR="00000000" w:rsidRPr="00A817CA" w:rsidP="00A817CA">
            <w:pPr>
              <w:pStyle w:val="ListBullet"/>
            </w:pPr>
            <w:r w:rsidRPr="00A817CA">
              <w:t>Sketches and plans</w:t>
            </w:r>
          </w:p>
          <w:p w:rsidR="00000000" w:rsidP="00A817CA">
            <w:pPr>
              <w:pStyle w:val="ListBullet"/>
              <w:rPr>
                <w:lang w:val="en-NZ"/>
              </w:rPr>
            </w:pPr>
            <w:r w:rsidRPr="00A817CA">
              <w:t>Video</w:t>
            </w:r>
          </w:p>
        </w:tc>
      </w:tr>
      <w:tr w:rsidTr="00A817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7CA">
            <w:pPr>
              <w:pStyle w:val="BodyText"/>
              <w:rPr>
                <w:lang w:val="en-NZ"/>
              </w:rPr>
            </w:pPr>
            <w:r w:rsidRPr="00A817CA">
              <w:rPr>
                <w:rStyle w:val="BoldandItalics"/>
              </w:rPr>
              <w:t>Occupational health and safety procedures</w:t>
            </w:r>
            <w:r w:rsidRPr="00A817CA">
              <w:t xml:space="preserve"> include:</w:t>
            </w:r>
          </w:p>
        </w:tc>
        <w:tc>
          <w:tcPr>
            <w:tcW w:w="57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7CA" w:rsidP="00A817CA">
            <w:pPr>
              <w:pStyle w:val="ListBullet"/>
            </w:pPr>
            <w:r w:rsidRPr="00A817CA">
              <w:t xml:space="preserve">Biological hazards </w:t>
            </w:r>
          </w:p>
          <w:p w:rsidR="00000000" w:rsidRPr="00A817CA" w:rsidP="00A817CA">
            <w:pPr>
              <w:pStyle w:val="ListBullet"/>
            </w:pPr>
            <w:r w:rsidRPr="00A817CA">
              <w:t>Safe work p</w:t>
            </w:r>
            <w:r w:rsidRPr="00A817CA">
              <w:t>ractices and procedures</w:t>
            </w:r>
          </w:p>
          <w:p w:rsidR="00000000" w:rsidRPr="00A817CA" w:rsidP="00A817CA">
            <w:pPr>
              <w:pStyle w:val="ListBullet"/>
            </w:pPr>
            <w:r w:rsidRPr="00A817CA">
              <w:t>Safety equipment and clothing</w:t>
            </w:r>
          </w:p>
        </w:tc>
      </w:tr>
    </w:tbl>
    <w:p w:rsidR="00000000" w:rsidRPr="00A817CA" w:rsidP="00A817CA">
      <w:pPr>
        <w:pStyle w:val="BodyText"/>
      </w:pPr>
    </w:p>
    <w:p w:rsidR="00000000" w:rsidRPr="00A817CA" w:rsidP="00A817CA">
      <w:pPr>
        <w:pStyle w:val="AllowPageBreak"/>
      </w:pPr>
    </w:p>
    <w:p w:rsidR="00000000" w:rsidRPr="00A817CA" w:rsidP="00A817CA">
      <w:pPr>
        <w:pStyle w:val="Heading1"/>
      </w:pPr>
      <w:bookmarkStart w:id="12" w:name="O_570874"/>
      <w:bookmarkEnd w:id="12"/>
      <w:r w:rsidRPr="00A817CA">
        <w:t>Unit Sector(s)</w:t>
      </w:r>
    </w:p>
    <w:p w:rsidR="00000000" w:rsidRPr="00A817CA" w:rsidP="00A817CA">
      <w:pPr>
        <w:pStyle w:val="BodyText"/>
      </w:pPr>
      <w:r w:rsidRPr="00A817CA">
        <w:t>Not applicable.</w:t>
      </w:r>
    </w:p>
    <w:p w:rsidR="00000000" w:rsidRPr="00A817CA" w:rsidP="00A817CA"/>
    <w:sectPr w:rsidSect="00A817C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7C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7CA" w:rsidRPr="00E74394" w:rsidP="00E743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7C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394" w:rsidP="00A817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7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E74394" w:rsidP="00A817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E74394" w:rsidP="00A817C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7C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7CA" w:rsidRPr="00E74394" w:rsidP="00E7439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7C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394" w:rsidRPr="002D2AF8" w:rsidP="00A817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PUAFIR608A Investigate fatal fires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2013</w:t>
    </w:r>
    <w:r>
      <w:fldChar w:fldCharType="end"/>
    </w:r>
  </w:p>
  <w:p w:rsidR="00E74394" w:rsidP="00A817C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77216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E2A989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17C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817C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817C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817C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817C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817C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817C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817C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817C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817C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817C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817CA"/>
  </w:style>
  <w:style w:type="character" w:customStyle="1" w:styleId="Heading1Char">
    <w:name w:val="Heading 1 Char"/>
    <w:basedOn w:val="DefaultParagraphFont"/>
    <w:link w:val="Heading1"/>
    <w:rsid w:val="00A817C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817C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817C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817C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817CA"/>
    <w:rPr>
      <w:b/>
      <w:spacing w:val="0"/>
    </w:rPr>
  </w:style>
  <w:style w:type="paragraph" w:customStyle="1" w:styleId="SuperHeading">
    <w:name w:val="SuperHeading"/>
    <w:basedOn w:val="Normal"/>
    <w:rsid w:val="00A817C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817C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A817CA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A817C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817C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817C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817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817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817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817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817C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817C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817C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817C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817C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817C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817C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817C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817C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817C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817C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817C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817C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817C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817C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817C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817CA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817C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817C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817C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817C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817C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817C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817C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817C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817C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817CA"/>
    <w:rPr>
      <w:i/>
    </w:rPr>
  </w:style>
  <w:style w:type="paragraph" w:styleId="Caption">
    <w:name w:val="caption"/>
    <w:basedOn w:val="BodyText"/>
    <w:next w:val="Normal"/>
    <w:qFormat/>
    <w:rsid w:val="00A817C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817C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817C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817CA"/>
  </w:style>
  <w:style w:type="paragraph" w:styleId="TableofFigures">
    <w:name w:val="table of figures"/>
    <w:basedOn w:val="Normal"/>
    <w:next w:val="Normal"/>
    <w:semiHidden/>
    <w:rsid w:val="00A817C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817CA"/>
    <w:pPr>
      <w:numPr>
        <w:numId w:val="10"/>
      </w:numPr>
    </w:pPr>
  </w:style>
  <w:style w:type="character" w:customStyle="1" w:styleId="WingdingSymbols">
    <w:name w:val="Wingding Symbols"/>
    <w:rsid w:val="00A817CA"/>
    <w:rPr>
      <w:rFonts w:ascii="Wingdings" w:hAnsi="Wingdings"/>
    </w:rPr>
  </w:style>
  <w:style w:type="paragraph" w:customStyle="1" w:styleId="TableHeading">
    <w:name w:val="Table Heading"/>
    <w:basedOn w:val="HeadingBase"/>
    <w:rsid w:val="00A817C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817CA"/>
    <w:rPr>
      <w:color w:val="0033CC"/>
      <w:u w:val="none"/>
    </w:rPr>
  </w:style>
  <w:style w:type="paragraph" w:customStyle="1" w:styleId="BodyTextRight">
    <w:name w:val="Body Text Right"/>
    <w:basedOn w:val="BodyText"/>
    <w:rsid w:val="00A817C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817C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817C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817C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817C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817C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817CA"/>
    <w:rPr>
      <w:sz w:val="32"/>
    </w:rPr>
  </w:style>
  <w:style w:type="paragraph" w:customStyle="1" w:styleId="HeadingProcedure">
    <w:name w:val="Heading Procedure"/>
    <w:basedOn w:val="HeadingBase"/>
    <w:next w:val="Normal"/>
    <w:rsid w:val="00A817C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817CA"/>
    <w:pPr>
      <w:spacing w:before="60" w:after="60"/>
    </w:pPr>
  </w:style>
  <w:style w:type="paragraph" w:styleId="ListContinue">
    <w:name w:val="List Continue"/>
    <w:basedOn w:val="List"/>
    <w:rsid w:val="00A817CA"/>
    <w:pPr>
      <w:ind w:firstLine="0"/>
    </w:pPr>
  </w:style>
  <w:style w:type="paragraph" w:customStyle="1" w:styleId="ListNote">
    <w:name w:val="List Note"/>
    <w:basedOn w:val="List"/>
    <w:rsid w:val="00A817C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817C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817C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817CA"/>
    <w:rPr>
      <w:rFonts w:ascii="Courier New" w:hAnsi="Courier New"/>
    </w:rPr>
  </w:style>
  <w:style w:type="paragraph" w:customStyle="1" w:styleId="NoteBullet">
    <w:name w:val="Note Bullet"/>
    <w:basedOn w:val="Note"/>
    <w:rsid w:val="00A817C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817C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817C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817C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817C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817C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817C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817CA"/>
    <w:rPr>
      <w:b/>
      <w:smallCaps/>
    </w:rPr>
  </w:style>
  <w:style w:type="paragraph" w:customStyle="1" w:styleId="TableListNumber">
    <w:name w:val="Table List Number"/>
    <w:basedOn w:val="ListNumber"/>
    <w:rsid w:val="00A817C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817C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817CA"/>
    <w:pPr>
      <w:numPr>
        <w:numId w:val="8"/>
      </w:numPr>
    </w:pPr>
  </w:style>
  <w:style w:type="paragraph" w:customStyle="1" w:styleId="ListAlpha2">
    <w:name w:val="List Alpha 2"/>
    <w:basedOn w:val="List2"/>
    <w:rsid w:val="00A817CA"/>
    <w:pPr>
      <w:numPr>
        <w:numId w:val="7"/>
      </w:numPr>
    </w:pPr>
  </w:style>
  <w:style w:type="paragraph" w:styleId="List2">
    <w:name w:val="List 2"/>
    <w:basedOn w:val="BodyText"/>
    <w:rsid w:val="00A817C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817C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817C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817C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817C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817CA"/>
    <w:pPr>
      <w:numPr>
        <w:numId w:val="2"/>
      </w:numPr>
    </w:pPr>
  </w:style>
  <w:style w:type="paragraph" w:styleId="ListBullet5">
    <w:name w:val="List Bullet 5"/>
    <w:basedOn w:val="List5"/>
    <w:rsid w:val="00A817CA"/>
    <w:pPr>
      <w:numPr>
        <w:numId w:val="3"/>
      </w:numPr>
    </w:pPr>
  </w:style>
  <w:style w:type="paragraph" w:styleId="ListContinue2">
    <w:name w:val="List Continue 2"/>
    <w:basedOn w:val="List2"/>
    <w:rsid w:val="00A817CA"/>
    <w:pPr>
      <w:ind w:firstLine="0"/>
    </w:pPr>
  </w:style>
  <w:style w:type="paragraph" w:styleId="ListContinue3">
    <w:name w:val="List Continue 3"/>
    <w:basedOn w:val="List3"/>
    <w:rsid w:val="00A817CA"/>
    <w:pPr>
      <w:ind w:left="1021" w:firstLine="0"/>
    </w:pPr>
  </w:style>
  <w:style w:type="paragraph" w:styleId="ListContinue4">
    <w:name w:val="List Continue 4"/>
    <w:basedOn w:val="List4"/>
    <w:rsid w:val="00A817CA"/>
    <w:pPr>
      <w:ind w:firstLine="0"/>
    </w:pPr>
  </w:style>
  <w:style w:type="paragraph" w:styleId="ListContinue5">
    <w:name w:val="List Continue 5"/>
    <w:basedOn w:val="List5"/>
    <w:rsid w:val="00A817CA"/>
    <w:pPr>
      <w:ind w:firstLine="0"/>
    </w:pPr>
  </w:style>
  <w:style w:type="paragraph" w:styleId="ListNumber3">
    <w:name w:val="List Number 3"/>
    <w:basedOn w:val="List3"/>
    <w:rsid w:val="00A817CA"/>
    <w:pPr>
      <w:numPr>
        <w:numId w:val="4"/>
      </w:numPr>
    </w:pPr>
  </w:style>
  <w:style w:type="paragraph" w:styleId="ListNumber4">
    <w:name w:val="List Number 4"/>
    <w:basedOn w:val="List4"/>
    <w:rsid w:val="00A817CA"/>
    <w:pPr>
      <w:numPr>
        <w:numId w:val="5"/>
      </w:numPr>
    </w:pPr>
  </w:style>
  <w:style w:type="paragraph" w:styleId="ListNumber5">
    <w:name w:val="List Number 5"/>
    <w:basedOn w:val="List5"/>
    <w:rsid w:val="00A817CA"/>
    <w:pPr>
      <w:numPr>
        <w:numId w:val="6"/>
      </w:numPr>
    </w:pPr>
  </w:style>
  <w:style w:type="paragraph" w:styleId="BlockText">
    <w:name w:val="Block Text"/>
    <w:basedOn w:val="Normal"/>
    <w:rsid w:val="00A817C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817C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817CA"/>
    <w:rPr>
      <w:sz w:val="16"/>
      <w:vertAlign w:val="superscript"/>
    </w:rPr>
  </w:style>
  <w:style w:type="character" w:customStyle="1" w:styleId="Symbols">
    <w:name w:val="Symbols"/>
    <w:basedOn w:val="DefaultParagraphFont"/>
    <w:rsid w:val="00A817CA"/>
    <w:rPr>
      <w:rFonts w:ascii="Symbol" w:hAnsi="Symbol"/>
    </w:rPr>
  </w:style>
  <w:style w:type="character" w:customStyle="1" w:styleId="MenuOptions">
    <w:name w:val="Menu Options"/>
    <w:basedOn w:val="DefaultParagraphFont"/>
    <w:rsid w:val="00A817C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817CA"/>
    <w:rPr>
      <w:b/>
    </w:rPr>
  </w:style>
  <w:style w:type="character" w:customStyle="1" w:styleId="Underlined">
    <w:name w:val="Underlined"/>
    <w:basedOn w:val="DefaultParagraphFont"/>
    <w:rsid w:val="00A817CA"/>
    <w:rPr>
      <w:u w:val="single"/>
    </w:rPr>
  </w:style>
  <w:style w:type="paragraph" w:customStyle="1" w:styleId="TableBodyTextRight">
    <w:name w:val="Table Body Text Right"/>
    <w:basedOn w:val="TableBodyText"/>
    <w:rsid w:val="00A817C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817CA"/>
    <w:rPr>
      <w:sz w:val="18"/>
    </w:rPr>
  </w:style>
  <w:style w:type="paragraph" w:customStyle="1" w:styleId="BodySmallRight">
    <w:name w:val="Body Small Right"/>
    <w:basedOn w:val="BodyTextRight"/>
    <w:rsid w:val="00A817CA"/>
    <w:rPr>
      <w:sz w:val="18"/>
      <w:szCs w:val="18"/>
    </w:rPr>
  </w:style>
  <w:style w:type="paragraph" w:customStyle="1" w:styleId="MarginEdition">
    <w:name w:val="Margin Edition"/>
    <w:basedOn w:val="MarginNote"/>
    <w:rsid w:val="00A817C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817CA"/>
    <w:rPr>
      <w:sz w:val="2"/>
      <w:szCs w:val="2"/>
    </w:rPr>
  </w:style>
  <w:style w:type="character" w:customStyle="1" w:styleId="Small">
    <w:name w:val="Small"/>
    <w:basedOn w:val="DefaultParagraphFont"/>
    <w:rsid w:val="00A817CA"/>
    <w:rPr>
      <w:sz w:val="16"/>
    </w:rPr>
  </w:style>
  <w:style w:type="paragraph" w:customStyle="1" w:styleId="WideTable">
    <w:name w:val="Wide Table"/>
    <w:basedOn w:val="Normal"/>
    <w:rsid w:val="00A817C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817CA"/>
  </w:style>
  <w:style w:type="paragraph" w:styleId="Quote">
    <w:name w:val="Quote"/>
    <w:basedOn w:val="Heading1"/>
    <w:link w:val="QuoteChar"/>
    <w:qFormat/>
    <w:rsid w:val="00A817C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817C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817CA"/>
    <w:pPr>
      <w:pageBreakBefore/>
    </w:pPr>
  </w:style>
  <w:style w:type="paragraph" w:customStyle="1" w:styleId="Border">
    <w:name w:val="Border"/>
    <w:basedOn w:val="Normal"/>
    <w:qFormat/>
    <w:rsid w:val="00A817C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817C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17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17C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817C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817C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817C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817C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817C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817CA"/>
    <w:rPr>
      <w:u w:val="single"/>
    </w:rPr>
  </w:style>
  <w:style w:type="paragraph" w:styleId="BalloonText">
    <w:name w:val="Balloon Text"/>
    <w:basedOn w:val="Normal"/>
    <w:link w:val="BalloonTextChar"/>
    <w:rsid w:val="00A817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17C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817C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817C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817C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817C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967</Words>
  <Characters>6138</Characters>
  <Application>Microsoft Office Word</Application>
  <DocSecurity>0</DocSecurity>
  <Lines>214</Lines>
  <Paragraphs>131</Paragraphs>
  <ScaleCrop>false</ScaleCrop>
  <Company>Author-it Software Corporation Ltd.</Company>
  <LinksUpToDate>false</LinksUpToDate>
  <CharactersWithSpaces>7050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PUAFIR608A Investigate fatal fires</dc:title>
  <dc:subject>Approved</dc:subject>
  <dc:creator>Government Skills Australia</dc:creator>
  <cp:keywords>Release 3</cp:keywords>
  <dc:description>Review Date: 12 April 2008</dc:description>
  <cp:lastModifiedBy>TPCMS</cp:lastModifiedBy>
  <cp:revision>3</cp:revision>
  <dcterms:created xsi:type="dcterms:W3CDTF">2013-05-01T07:17:00Z</dcterms:created>
  <dcterms:modified xsi:type="dcterms:W3CDTF">2013-05-01T07:17:00Z</dcterms:modified>
</cp:coreProperties>
</file>