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54C8" w:rsidP="00B154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PUAFIR607A Apply electrical/electronic knowledge to fire investigations</w:t>
      </w:r>
      <w:r>
        <w:fldChar w:fldCharType="end"/>
      </w:r>
    </w:p>
    <w:p w:rsidR="00B154C8" w:rsidP="00B154C8">
      <w:pPr>
        <w:pStyle w:val="Version"/>
        <w:sectPr w:rsidSect="00301B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301BC9" w:rsidP="00301BC9">
      <w:pPr>
        <w:pStyle w:val="SuperHeading"/>
      </w:pPr>
      <w:r w:rsidRPr="00301BC9">
        <w:t>PUAFIR607A Apply electrical/electronic knowledge to fire investigations</w:t>
      </w:r>
    </w:p>
    <w:p w:rsidR="00000000" w:rsidRPr="00301BC9" w:rsidP="00301BC9">
      <w:pPr>
        <w:pStyle w:val="Heading1"/>
      </w:pPr>
      <w:bookmarkStart w:id="1" w:name="O_570872"/>
      <w:bookmarkEnd w:id="1"/>
      <w:r w:rsidRPr="00301B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B15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BC9" w:rsidP="00301BC9">
            <w:pPr>
              <w:pStyle w:val="BodyText"/>
            </w:pPr>
            <w:r w:rsidRPr="00301BC9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BC9" w:rsidP="00301BC9">
            <w:pPr>
              <w:pStyle w:val="BodyText"/>
            </w:pPr>
            <w:r w:rsidRPr="00301BC9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BC9">
            <w:pPr>
              <w:pStyle w:val="BodyText"/>
              <w:rPr>
                <w:lang w:val="en-NZ"/>
              </w:rPr>
            </w:pPr>
            <w:r w:rsidRPr="00301BC9">
              <w:rPr>
                <w:rStyle w:val="SpecialBold"/>
              </w:rPr>
              <w:t>Comments</w:t>
            </w:r>
          </w:p>
        </w:tc>
      </w:tr>
      <w:tr w:rsidTr="00B15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BC9">
            <w:pPr>
              <w:pStyle w:val="BodyText"/>
              <w:rPr>
                <w:lang w:val="en-NZ"/>
              </w:rPr>
            </w:pPr>
            <w:r w:rsidRPr="00301BC9"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BC9">
            <w:pPr>
              <w:pStyle w:val="BodyText"/>
              <w:rPr>
                <w:lang w:val="en-NZ"/>
              </w:rPr>
            </w:pPr>
            <w:r w:rsidRPr="00301BC9">
              <w:t>PUA12 V2.1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BC9">
            <w:pPr>
              <w:pStyle w:val="BodyText"/>
              <w:rPr>
                <w:lang w:val="en-NZ"/>
              </w:rPr>
            </w:pPr>
            <w:r w:rsidRPr="00301BC9">
              <w:t xml:space="preserve">Editorial changes. </w:t>
            </w:r>
          </w:p>
        </w:tc>
      </w:tr>
      <w:tr w:rsidTr="00B15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BC9">
            <w:pPr>
              <w:pStyle w:val="BodyText"/>
              <w:rPr>
                <w:lang w:val="en-NZ"/>
              </w:rPr>
            </w:pPr>
            <w:r w:rsidRPr="00301BC9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BC9">
            <w:pPr>
              <w:pStyle w:val="BodyText"/>
              <w:rPr>
                <w:lang w:val="en-NZ"/>
              </w:rPr>
            </w:pPr>
            <w:r w:rsidRPr="00301BC9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BC9">
            <w:pPr>
              <w:pStyle w:val="BodyText"/>
              <w:rPr>
                <w:lang w:val="en-NZ"/>
              </w:rPr>
            </w:pPr>
            <w:r w:rsidRPr="00301BC9">
              <w:t>Layout adjusted. No changes to content</w:t>
            </w:r>
          </w:p>
        </w:tc>
      </w:tr>
      <w:tr w:rsidTr="00B15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BC9">
            <w:pPr>
              <w:pStyle w:val="BodyText"/>
              <w:rPr>
                <w:lang w:val="en-NZ"/>
              </w:rPr>
            </w:pPr>
            <w:r w:rsidRPr="00301BC9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BC9">
            <w:pPr>
              <w:pStyle w:val="BodyText"/>
              <w:rPr>
                <w:lang w:val="en-NZ"/>
              </w:rPr>
            </w:pPr>
            <w:r w:rsidRPr="00301BC9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BC9" w:rsidP="00301BC9">
            <w:pPr>
              <w:pStyle w:val="BodyText"/>
            </w:pPr>
            <w:r w:rsidRPr="00301BC9">
              <w:t>Primary release on TGA</w:t>
            </w:r>
          </w:p>
        </w:tc>
      </w:tr>
    </w:tbl>
    <w:p w:rsidR="00B154C8" w:rsidP="00301BC9">
      <w:pPr>
        <w:pStyle w:val="BodyText"/>
      </w:pPr>
    </w:p>
    <w:p w:rsidR="00B154C8" w:rsidP="00301BC9">
      <w:pPr>
        <w:pStyle w:val="BodyText"/>
      </w:pPr>
    </w:p>
    <w:p w:rsidR="00000000" w:rsidRPr="00301BC9" w:rsidP="00301BC9">
      <w:pPr>
        <w:pStyle w:val="Heading1"/>
      </w:pPr>
      <w:bookmarkStart w:id="2" w:name="O_570871"/>
      <w:bookmarkEnd w:id="2"/>
      <w:r w:rsidRPr="00301BC9">
        <w:t>Unit Descriptor</w:t>
      </w:r>
    </w:p>
    <w:p w:rsidR="00000000" w:rsidRPr="00301BC9" w:rsidP="00301BC9">
      <w:pPr>
        <w:pStyle w:val="BodyText"/>
      </w:pPr>
      <w:r w:rsidRPr="00301BC9">
        <w:t xml:space="preserve">This unit covers the competency required to inspect and assess a fire scene to determine whether the origin and possible cause of fire is related </w:t>
      </w:r>
      <w:r w:rsidRPr="00301BC9">
        <w:t>to the presence of electrical installations and appliances, in accordance with agency procedures.</w:t>
      </w:r>
    </w:p>
    <w:p w:rsidR="00000000" w:rsidRPr="00301BC9" w:rsidP="00301BC9">
      <w:pPr>
        <w:pStyle w:val="BodyText"/>
      </w:pPr>
      <w:r w:rsidRPr="00301BC9">
        <w:t xml:space="preserve">It includes identifying sources of evidence, collecting and documenting that evidence in preparation for analysis, and developing findings and conclusions. </w:t>
      </w:r>
    </w:p>
    <w:p w:rsidR="00B154C8" w:rsidP="00301BC9">
      <w:pPr>
        <w:pStyle w:val="BodyText"/>
      </w:pPr>
      <w:r w:rsidRPr="00301BC9">
        <w:t>N</w:t>
      </w:r>
      <w:r w:rsidRPr="00301BC9">
        <w:t>o licensing, legislative, regulatory or certification requirements apply to this unit at the time of publication.</w:t>
      </w:r>
    </w:p>
    <w:p w:rsidR="00B154C8" w:rsidP="00301BC9">
      <w:pPr>
        <w:pStyle w:val="BodyText"/>
      </w:pPr>
    </w:p>
    <w:p w:rsidR="00000000" w:rsidRPr="00301BC9" w:rsidP="00301BC9">
      <w:pPr>
        <w:pStyle w:val="Heading1"/>
      </w:pPr>
      <w:bookmarkStart w:id="3" w:name="O_570870"/>
      <w:bookmarkEnd w:id="3"/>
      <w:r w:rsidRPr="00301BC9">
        <w:t>Application of the Unit</w:t>
      </w:r>
    </w:p>
    <w:p w:rsidR="00B154C8" w:rsidP="00301BC9">
      <w:pPr>
        <w:pStyle w:val="BodyText"/>
      </w:pPr>
      <w:r w:rsidRPr="00301BC9">
        <w:t>Application of this unit applies to fire investigators who are required to assess a fire scene and t</w:t>
      </w:r>
      <w:r w:rsidRPr="00301BC9">
        <w:t>o identify whether the presence of an electrical circuit, equipment or appliance may have contributed to the cause of fire.</w:t>
      </w:r>
    </w:p>
    <w:p w:rsidR="00B154C8" w:rsidP="00301BC9">
      <w:pPr>
        <w:pStyle w:val="BodyText"/>
      </w:pPr>
    </w:p>
    <w:p w:rsidR="00000000" w:rsidRPr="00301BC9" w:rsidP="00301BC9">
      <w:pPr>
        <w:pStyle w:val="Heading1"/>
      </w:pPr>
      <w:bookmarkStart w:id="4" w:name="O_570869"/>
      <w:bookmarkEnd w:id="4"/>
      <w:r w:rsidRPr="00301BC9">
        <w:t>Licensing/Regulatory Information</w:t>
      </w:r>
    </w:p>
    <w:p w:rsidR="00000000" w:rsidRPr="00301BC9" w:rsidP="00301BC9">
      <w:pPr>
        <w:pStyle w:val="BodyText"/>
      </w:pPr>
      <w:r w:rsidRPr="00301BC9">
        <w:t>Not applicable.</w:t>
      </w:r>
    </w:p>
    <w:p w:rsidR="00000000" w:rsidRPr="00301BC9" w:rsidP="00301BC9">
      <w:pPr>
        <w:pStyle w:val="AllowPageBreak"/>
      </w:pPr>
    </w:p>
    <w:p w:rsidR="00000000" w:rsidRPr="00301BC9" w:rsidP="00301BC9">
      <w:pPr>
        <w:pStyle w:val="Heading1"/>
      </w:pPr>
      <w:bookmarkStart w:id="5" w:name="O_570868"/>
      <w:bookmarkEnd w:id="5"/>
      <w:r w:rsidRPr="00301BC9">
        <w:t>Pre-Requisites</w:t>
      </w:r>
    </w:p>
    <w:p w:rsidR="00000000" w:rsidRPr="00301BC9" w:rsidP="00301BC9">
      <w:pPr>
        <w:pStyle w:val="BodyText"/>
      </w:pPr>
      <w:r w:rsidRPr="00301BC9">
        <w:t>PUAFIR605A Determine origin and c</w:t>
      </w:r>
      <w:r w:rsidRPr="00301BC9">
        <w:t>ause of mobile property fire (Fire sector specific)</w:t>
      </w:r>
    </w:p>
    <w:p w:rsidR="00000000" w:rsidRPr="00301BC9" w:rsidP="00301BC9">
      <w:pPr>
        <w:pStyle w:val="BodyText"/>
      </w:pPr>
      <w:r w:rsidRPr="00301BC9">
        <w:t>PUAFIR609A Collect, record and coordinate the analysis of physical evidence (Fire sector specific)</w:t>
      </w:r>
    </w:p>
    <w:p w:rsidR="00000000" w:rsidRPr="00301BC9" w:rsidP="00301BC9">
      <w:pPr>
        <w:pStyle w:val="BodyText"/>
      </w:pPr>
      <w:r w:rsidRPr="00301BC9">
        <w:t>And either</w:t>
      </w:r>
    </w:p>
    <w:p w:rsidR="00000000" w:rsidRPr="00301BC9" w:rsidP="00301BC9">
      <w:pPr>
        <w:pStyle w:val="BodyText"/>
      </w:pPr>
      <w:r w:rsidRPr="00301BC9">
        <w:t>PUAFIR603A Determine origin and cause of wildfire (Fire sector specific)</w:t>
      </w:r>
    </w:p>
    <w:p w:rsidR="00000000" w:rsidRPr="00301BC9" w:rsidP="00301BC9">
      <w:pPr>
        <w:pStyle w:val="BodyText"/>
      </w:pPr>
      <w:r w:rsidRPr="00301BC9">
        <w:rPr>
          <w:rStyle w:val="SpecialBold"/>
        </w:rPr>
        <w:t>OR</w:t>
      </w:r>
    </w:p>
    <w:p w:rsidR="00000000" w:rsidRPr="00301BC9" w:rsidP="00301BC9">
      <w:pPr>
        <w:pStyle w:val="BodyText"/>
      </w:pPr>
      <w:r w:rsidRPr="00301BC9">
        <w:t>PUAFIR604A Determi</w:t>
      </w:r>
      <w:r w:rsidRPr="00301BC9">
        <w:t>ne origin and cause of structure fire (Fire sector specific)</w:t>
      </w:r>
    </w:p>
    <w:p w:rsidR="00000000" w:rsidRPr="00301BC9" w:rsidP="00301BC9">
      <w:pPr>
        <w:pStyle w:val="AllowPageBreak"/>
      </w:pPr>
    </w:p>
    <w:p w:rsidR="00000000" w:rsidRPr="00301BC9" w:rsidP="00301BC9">
      <w:pPr>
        <w:pStyle w:val="Heading1"/>
      </w:pPr>
      <w:bookmarkStart w:id="6" w:name="O_570867"/>
      <w:bookmarkEnd w:id="6"/>
      <w:r w:rsidRPr="00301BC9">
        <w:t>Employability Skills Information</w:t>
      </w:r>
    </w:p>
    <w:p w:rsidR="00000000" w:rsidRPr="00301BC9" w:rsidP="00301BC9">
      <w:pPr>
        <w:pStyle w:val="BodyText"/>
      </w:pPr>
      <w:r w:rsidRPr="00301BC9">
        <w:t>This unit contains employability skills.</w:t>
      </w:r>
    </w:p>
    <w:p w:rsidR="00000000" w:rsidRPr="00301BC9" w:rsidP="00301BC9">
      <w:pPr>
        <w:pStyle w:val="AllowPageBreak"/>
      </w:pPr>
    </w:p>
    <w:p w:rsidR="00000000" w:rsidRPr="00301BC9" w:rsidP="00301BC9">
      <w:pPr>
        <w:pStyle w:val="Heading1"/>
      </w:pPr>
      <w:bookmarkStart w:id="7" w:name="O_570866"/>
      <w:bookmarkEnd w:id="7"/>
      <w:r w:rsidRPr="00301BC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5954"/>
      </w:tblGrid>
      <w:tr w:rsidTr="00B15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BC9">
            <w:pPr>
              <w:pStyle w:val="BodyText"/>
              <w:rPr>
                <w:lang w:val="en-NZ"/>
              </w:rPr>
            </w:pPr>
            <w:r w:rsidRPr="00301BC9">
              <w:t xml:space="preserve">Elements describe the essential outcomes </w:t>
            </w:r>
            <w:r w:rsidRPr="00301BC9">
              <w:t>of a Unit of Competency.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BC9" w:rsidP="00301BC9">
            <w:pPr>
              <w:pStyle w:val="BodyText"/>
            </w:pPr>
            <w:r w:rsidRPr="00301BC9">
              <w:t xml:space="preserve">Performance Criteria describe the required performance needed to demonstrate achievement of the element. Where </w:t>
            </w:r>
            <w:r w:rsidRPr="00301BC9">
              <w:rPr>
                <w:rStyle w:val="BoldandItalics"/>
              </w:rPr>
              <w:t>bold italicised</w:t>
            </w:r>
            <w:r w:rsidRPr="00301BC9">
              <w:t xml:space="preserve"> text is used, further information is detailed in the Required Skills and Knowledge and/or the Range Stat</w:t>
            </w:r>
            <w:r w:rsidRPr="00301BC9">
              <w:t>ement. Assessment of performance is to be consistent with the Evidence Guide.</w:t>
            </w:r>
          </w:p>
        </w:tc>
      </w:tr>
    </w:tbl>
    <w:p w:rsidR="00000000" w:rsidRPr="00301BC9" w:rsidP="00301BC9">
      <w:pPr>
        <w:pStyle w:val="BodyText"/>
      </w:pPr>
    </w:p>
    <w:p w:rsidR="00000000" w:rsidRPr="00301BC9" w:rsidP="00301BC9">
      <w:pPr>
        <w:pStyle w:val="AllowPageBreak"/>
      </w:pPr>
    </w:p>
    <w:p w:rsidR="00000000" w:rsidRPr="00301BC9" w:rsidP="00301BC9">
      <w:pPr>
        <w:pStyle w:val="Heading1"/>
      </w:pPr>
      <w:bookmarkStart w:id="8" w:name="O_570865"/>
      <w:bookmarkEnd w:id="8"/>
      <w:r w:rsidRPr="00301BC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5954"/>
      </w:tblGrid>
      <w:tr w:rsidTr="00301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BC9" w:rsidP="00301BC9">
            <w:pPr>
              <w:pStyle w:val="List"/>
            </w:pPr>
            <w:r w:rsidRPr="00301BC9">
              <w:rPr>
                <w:rStyle w:val="SpecialBold"/>
              </w:rPr>
              <w:t>ELEMENT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BC9">
            <w:pPr>
              <w:pStyle w:val="List"/>
              <w:rPr>
                <w:lang w:val="en-NZ"/>
              </w:rPr>
            </w:pPr>
            <w:r w:rsidRPr="00301BC9">
              <w:rPr>
                <w:rStyle w:val="SpecialBold"/>
              </w:rPr>
              <w:t>PERFORMANCE CRITERIA</w:t>
            </w:r>
          </w:p>
        </w:tc>
      </w:tr>
      <w:tr w:rsidTr="00301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BC9">
            <w:pPr>
              <w:pStyle w:val="List"/>
              <w:rPr>
                <w:lang w:val="en-NZ"/>
              </w:rPr>
            </w:pPr>
            <w:r w:rsidRPr="00301BC9">
              <w:rPr>
                <w:rStyle w:val="SpecialBold"/>
              </w:rPr>
              <w:t>1.</w:t>
            </w:r>
            <w:r w:rsidRPr="00301BC9">
              <w:rPr>
                <w:rStyle w:val="SpecialBold"/>
              </w:rPr>
              <w:tab/>
              <w:t>Coordinate fire investigation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BC9" w:rsidP="00301BC9">
            <w:pPr>
              <w:pStyle w:val="List"/>
            </w:pPr>
            <w:r w:rsidRPr="00301BC9">
              <w:t>1.1</w:t>
            </w:r>
            <w:r w:rsidRPr="00301BC9">
              <w:tab/>
              <w:t>Roles and responsibilities of multi-</w:t>
            </w:r>
            <w:r w:rsidRPr="00301BC9">
              <w:rPr>
                <w:rStyle w:val="BoldandItalics"/>
              </w:rPr>
              <w:t>agency</w:t>
            </w:r>
            <w:r w:rsidRPr="00301BC9">
              <w:t xml:space="preserve"> and </w:t>
            </w:r>
            <w:r w:rsidRPr="00301BC9">
              <w:rPr>
                <w:rStyle w:val="BoldandItalics"/>
              </w:rPr>
              <w:t>support personnel</w:t>
            </w:r>
            <w:r w:rsidRPr="00301BC9">
              <w:t xml:space="preserve"> involved in fire investigation are confirmed</w:t>
            </w:r>
          </w:p>
          <w:p w:rsidR="00000000" w:rsidRPr="00301BC9" w:rsidP="00301BC9">
            <w:pPr>
              <w:pStyle w:val="List"/>
            </w:pPr>
            <w:r w:rsidRPr="00301BC9">
              <w:t>1.2</w:t>
            </w:r>
            <w:r w:rsidRPr="00301BC9">
              <w:tab/>
              <w:t>Cooperation with multi-agency personnel in the conduct of the investigation consistent with designated roles and responsibilities for the fire investigation is achieved</w:t>
            </w:r>
          </w:p>
          <w:p w:rsidR="00000000" w:rsidRPr="00301BC9" w:rsidP="00301BC9">
            <w:pPr>
              <w:pStyle w:val="List"/>
            </w:pPr>
            <w:r w:rsidRPr="00301BC9">
              <w:t>1.3</w:t>
            </w:r>
            <w:r w:rsidRPr="00301BC9">
              <w:tab/>
              <w:t>Information requ</w:t>
            </w:r>
            <w:r w:rsidRPr="00301BC9">
              <w:t>ired for the fire investigation from multi-agency personnel is identified, sought and received</w:t>
            </w:r>
          </w:p>
          <w:p w:rsidR="00000000" w:rsidRPr="00301BC9" w:rsidP="00301BC9">
            <w:pPr>
              <w:pStyle w:val="List"/>
            </w:pPr>
            <w:r w:rsidRPr="00301BC9">
              <w:t>1.4</w:t>
            </w:r>
            <w:r w:rsidRPr="00301BC9">
              <w:tab/>
              <w:t>Protective clothing and equipment are used</w:t>
            </w:r>
          </w:p>
          <w:p w:rsidR="00000000" w:rsidP="00301BC9">
            <w:pPr>
              <w:pStyle w:val="List"/>
              <w:rPr>
                <w:lang w:val="en-NZ"/>
              </w:rPr>
            </w:pPr>
            <w:r w:rsidRPr="00301BC9">
              <w:t>1.5</w:t>
            </w:r>
            <w:r w:rsidRPr="00301BC9">
              <w:tab/>
              <w:t>Occupational health and safety (OHS) procedures appropriate to the incident are followed</w:t>
            </w:r>
          </w:p>
        </w:tc>
      </w:tr>
      <w:tr w:rsidTr="00301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BC9">
            <w:pPr>
              <w:pStyle w:val="List"/>
              <w:rPr>
                <w:lang w:val="en-NZ"/>
              </w:rPr>
            </w:pPr>
            <w:r w:rsidRPr="00301BC9">
              <w:rPr>
                <w:rStyle w:val="SpecialBold"/>
              </w:rPr>
              <w:t>2.</w:t>
            </w:r>
            <w:r w:rsidRPr="00301BC9">
              <w:rPr>
                <w:rStyle w:val="SpecialBold"/>
              </w:rPr>
              <w:tab/>
              <w:t xml:space="preserve">Identify, assess </w:t>
            </w:r>
            <w:r w:rsidRPr="00301BC9">
              <w:rPr>
                <w:rStyle w:val="SpecialBold"/>
              </w:rPr>
              <w:t>and collect circuitry components and appliances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BC9" w:rsidP="00301BC9">
            <w:pPr>
              <w:pStyle w:val="List"/>
            </w:pPr>
            <w:r w:rsidRPr="00301BC9">
              <w:t>2.1</w:t>
            </w:r>
            <w:r w:rsidRPr="00301BC9">
              <w:tab/>
              <w:t xml:space="preserve">External and internal survey of </w:t>
            </w:r>
            <w:r w:rsidRPr="00301BC9">
              <w:rPr>
                <w:rStyle w:val="BoldandItalics"/>
              </w:rPr>
              <w:t>fire scene</w:t>
            </w:r>
            <w:r w:rsidRPr="00301BC9">
              <w:t xml:space="preserve"> is conducted to identify and assess </w:t>
            </w:r>
            <w:r w:rsidRPr="00301BC9">
              <w:rPr>
                <w:rStyle w:val="BoldandItalics"/>
              </w:rPr>
              <w:t>electrical circuitry, electrical equipment and appliances</w:t>
            </w:r>
          </w:p>
          <w:p w:rsidR="00000000" w:rsidRPr="00301BC9" w:rsidP="00301BC9">
            <w:pPr>
              <w:pStyle w:val="List"/>
            </w:pPr>
            <w:r w:rsidRPr="00301BC9">
              <w:t>2.2</w:t>
            </w:r>
            <w:r w:rsidRPr="00301BC9">
              <w:tab/>
            </w:r>
            <w:r w:rsidRPr="00301BC9">
              <w:t>Relevance of electrical circuitry, electrical equipment and appliances to fire cause is assessed and established</w:t>
            </w:r>
          </w:p>
          <w:p w:rsidR="00000000" w:rsidRPr="00301BC9" w:rsidP="00301BC9">
            <w:pPr>
              <w:pStyle w:val="List"/>
            </w:pPr>
            <w:r w:rsidRPr="00301BC9">
              <w:t>2.3</w:t>
            </w:r>
            <w:r w:rsidRPr="00301BC9">
              <w:tab/>
              <w:t>Arrangements are made for the attendance of a specialist electrical fire investigator, or government or private specialist investigators, w</w:t>
            </w:r>
            <w:r w:rsidRPr="00301BC9">
              <w:t>here it is believed that electrical systems, components or appliances may have contributed to the fire</w:t>
            </w:r>
          </w:p>
          <w:p w:rsidR="00000000" w:rsidRPr="00301BC9" w:rsidP="00301BC9">
            <w:pPr>
              <w:pStyle w:val="List"/>
            </w:pPr>
            <w:r w:rsidRPr="00301BC9">
              <w:t>2.4</w:t>
            </w:r>
            <w:r w:rsidRPr="00301BC9">
              <w:tab/>
              <w:t>Local expertise is sourced, where required</w:t>
            </w:r>
          </w:p>
          <w:p w:rsidR="00000000" w:rsidRPr="00301BC9" w:rsidP="00301BC9">
            <w:pPr>
              <w:pStyle w:val="List"/>
            </w:pPr>
            <w:r w:rsidRPr="00301BC9">
              <w:t>2.5</w:t>
            </w:r>
            <w:r w:rsidRPr="00301BC9">
              <w:tab/>
              <w:t>Interviews are conducted</w:t>
            </w:r>
          </w:p>
          <w:p w:rsidR="00000000" w:rsidRPr="00301BC9" w:rsidP="00301BC9">
            <w:pPr>
              <w:pStyle w:val="List"/>
            </w:pPr>
            <w:r w:rsidRPr="00301BC9">
              <w:t>2.6</w:t>
            </w:r>
            <w:r w:rsidRPr="00301BC9">
              <w:tab/>
              <w:t xml:space="preserve">Circuitry plans/layouts are sourced </w:t>
            </w:r>
          </w:p>
          <w:p w:rsidR="00000000" w:rsidRPr="00301BC9" w:rsidP="00301BC9">
            <w:pPr>
              <w:pStyle w:val="List"/>
            </w:pPr>
            <w:r w:rsidRPr="00301BC9">
              <w:t>2.7</w:t>
            </w:r>
            <w:r w:rsidRPr="00301BC9">
              <w:tab/>
              <w:t>Areas or items of evidential val</w:t>
            </w:r>
            <w:r w:rsidRPr="00301BC9">
              <w:t xml:space="preserve">ue relevant to the investigation at the fire scene are identified and preserved </w:t>
            </w:r>
          </w:p>
          <w:p w:rsidR="00000000" w:rsidRPr="00301BC9" w:rsidP="00301BC9">
            <w:pPr>
              <w:pStyle w:val="List"/>
            </w:pPr>
            <w:r w:rsidRPr="00301BC9">
              <w:t>2.8</w:t>
            </w:r>
            <w:r w:rsidRPr="00301BC9">
              <w:tab/>
              <w:t xml:space="preserve">Evidence is recorded and collected at the fire scene and relevant observations are documented </w:t>
            </w:r>
          </w:p>
          <w:p w:rsidR="00000000" w:rsidP="00301BC9">
            <w:pPr>
              <w:pStyle w:val="List"/>
              <w:rPr>
                <w:lang w:val="en-NZ"/>
              </w:rPr>
            </w:pPr>
            <w:r w:rsidRPr="00301BC9">
              <w:t>2.9</w:t>
            </w:r>
            <w:r w:rsidRPr="00301BC9">
              <w:tab/>
              <w:t xml:space="preserve">Electrical circuitry components, equipment and appliances of evidential </w:t>
            </w:r>
            <w:r w:rsidRPr="00301BC9">
              <w:t xml:space="preserve">value are </w:t>
            </w:r>
            <w:r w:rsidRPr="00301BC9">
              <w:rPr>
                <w:rStyle w:val="BoldandItalics"/>
              </w:rPr>
              <w:t>protected</w:t>
            </w:r>
          </w:p>
        </w:tc>
      </w:tr>
      <w:tr w:rsidTr="00301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5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BC9">
            <w:pPr>
              <w:pStyle w:val="List"/>
              <w:rPr>
                <w:lang w:val="en-NZ"/>
              </w:rPr>
            </w:pPr>
            <w:r w:rsidRPr="00301BC9">
              <w:rPr>
                <w:rStyle w:val="SpecialBold"/>
              </w:rPr>
              <w:t>3.</w:t>
            </w:r>
            <w:r w:rsidRPr="00301BC9">
              <w:rPr>
                <w:rStyle w:val="SpecialBold"/>
              </w:rPr>
              <w:tab/>
              <w:t>Arrange for tests on electrical evidence collected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BC9" w:rsidP="00301BC9">
            <w:pPr>
              <w:pStyle w:val="List"/>
            </w:pPr>
            <w:r w:rsidRPr="00301BC9">
              <w:t>3.1</w:t>
            </w:r>
            <w:r w:rsidRPr="00301BC9">
              <w:tab/>
              <w:t xml:space="preserve">Advice is received from the specialist fire investigator (electrical), or government or private specialist investigator, </w:t>
            </w:r>
            <w:r w:rsidRPr="00301BC9">
              <w:t xml:space="preserve">as to the tests required of evidence relating to electrical systems or appliances </w:t>
            </w:r>
          </w:p>
          <w:p w:rsidR="00000000" w:rsidP="00301BC9">
            <w:pPr>
              <w:pStyle w:val="List"/>
              <w:rPr>
                <w:lang w:val="en-NZ"/>
              </w:rPr>
            </w:pPr>
            <w:r w:rsidRPr="00301BC9">
              <w:t>3.2</w:t>
            </w:r>
            <w:r w:rsidRPr="00301BC9">
              <w:tab/>
              <w:t>Arrangements are made for laboratory and specialist testing and assessment of electrical items of evidential value</w:t>
            </w:r>
          </w:p>
        </w:tc>
      </w:tr>
      <w:tr w:rsidTr="00301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BC9">
            <w:pPr>
              <w:pStyle w:val="List"/>
              <w:rPr>
                <w:lang w:val="en-NZ"/>
              </w:rPr>
            </w:pPr>
            <w:r w:rsidRPr="00301BC9">
              <w:rPr>
                <w:rStyle w:val="SpecialBold"/>
              </w:rPr>
              <w:t>4.</w:t>
            </w:r>
            <w:r w:rsidRPr="00301BC9">
              <w:rPr>
                <w:rStyle w:val="SpecialBold"/>
              </w:rPr>
              <w:tab/>
              <w:t>Interpret and record findings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BC9" w:rsidP="00301BC9">
            <w:pPr>
              <w:pStyle w:val="List"/>
            </w:pPr>
            <w:r w:rsidRPr="00301BC9">
              <w:t>4.1</w:t>
            </w:r>
            <w:r w:rsidRPr="00301BC9">
              <w:tab/>
              <w:t>Circuitry compon</w:t>
            </w:r>
            <w:r w:rsidRPr="00301BC9">
              <w:t xml:space="preserve">ents on site plans are documented to support evidence and conclusions </w:t>
            </w:r>
          </w:p>
          <w:p w:rsidR="00000000" w:rsidRPr="00301BC9" w:rsidP="00301BC9">
            <w:pPr>
              <w:pStyle w:val="List"/>
            </w:pPr>
            <w:r w:rsidRPr="00301BC9">
              <w:t>4.2</w:t>
            </w:r>
            <w:r w:rsidRPr="00301BC9">
              <w:tab/>
              <w:t xml:space="preserve">Basic circuit diagrams and electrical plans relating to building, components and equipment are interpreted </w:t>
            </w:r>
          </w:p>
          <w:p w:rsidR="00000000" w:rsidRPr="00301BC9" w:rsidP="00301BC9">
            <w:pPr>
              <w:pStyle w:val="List"/>
            </w:pPr>
            <w:r w:rsidRPr="00301BC9">
              <w:t>4.3</w:t>
            </w:r>
            <w:r w:rsidRPr="00301BC9">
              <w:tab/>
            </w:r>
            <w:r w:rsidRPr="00301BC9">
              <w:t>Report providing expert opinion concerning the potential of electrical circuitry or equipment failure to contribute to the cause of fire is obtained</w:t>
            </w:r>
          </w:p>
          <w:p w:rsidR="00000000" w:rsidRPr="00301BC9" w:rsidP="00301BC9">
            <w:pPr>
              <w:pStyle w:val="List"/>
            </w:pPr>
            <w:r w:rsidRPr="00301BC9">
              <w:t>4.4</w:t>
            </w:r>
            <w:r w:rsidRPr="00301BC9">
              <w:tab/>
              <w:t>Expert findings relating to potential electrical circuit component or appliance contributions to igniti</w:t>
            </w:r>
            <w:r w:rsidRPr="00301BC9">
              <w:t>on are considered in conjunction with other observations and evidence from the fire</w:t>
            </w:r>
          </w:p>
          <w:p w:rsidR="00000000" w:rsidRPr="00301BC9" w:rsidP="00301BC9">
            <w:pPr>
              <w:pStyle w:val="List"/>
            </w:pPr>
            <w:r w:rsidRPr="00301BC9">
              <w:t>4.5</w:t>
            </w:r>
            <w:r w:rsidRPr="00301BC9">
              <w:tab/>
              <w:t>Product recall and material safety data sheet databases are researched, as appropriate</w:t>
            </w:r>
          </w:p>
          <w:p w:rsidR="00000000" w:rsidRPr="00301BC9" w:rsidP="00301BC9">
            <w:pPr>
              <w:pStyle w:val="List"/>
            </w:pPr>
            <w:r w:rsidRPr="00301BC9">
              <w:t>4.6</w:t>
            </w:r>
            <w:r w:rsidRPr="00301BC9">
              <w:tab/>
              <w:t>Recommendations are forwarded to appropriate authorities/ stakeholders, as re</w:t>
            </w:r>
            <w:r w:rsidRPr="00301BC9">
              <w:t>quired</w:t>
            </w:r>
          </w:p>
          <w:p w:rsidR="00000000" w:rsidRPr="00301BC9" w:rsidP="00301BC9">
            <w:pPr>
              <w:pStyle w:val="List"/>
            </w:pPr>
            <w:r w:rsidRPr="00301BC9">
              <w:t>4.7</w:t>
            </w:r>
            <w:r w:rsidRPr="00301BC9">
              <w:tab/>
              <w:t>Findings are interpreted and recorded according to required practice and agency policy</w:t>
            </w:r>
          </w:p>
        </w:tc>
      </w:tr>
    </w:tbl>
    <w:p w:rsidR="00000000" w:rsidRPr="00301BC9" w:rsidP="00301BC9">
      <w:pPr>
        <w:pStyle w:val="List"/>
      </w:pPr>
    </w:p>
    <w:p w:rsidR="00000000" w:rsidRPr="00301BC9" w:rsidP="00301BC9">
      <w:pPr>
        <w:pStyle w:val="AllowPageBreak"/>
      </w:pPr>
    </w:p>
    <w:p w:rsidR="00000000" w:rsidRPr="00301BC9" w:rsidP="00301BC9">
      <w:pPr>
        <w:pStyle w:val="Heading1"/>
      </w:pPr>
      <w:bookmarkStart w:id="9" w:name="O_570864"/>
      <w:bookmarkEnd w:id="9"/>
      <w:r w:rsidRPr="00301BC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789"/>
      </w:tblGrid>
      <w:tr w:rsidTr="00301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BC9">
            <w:pPr>
              <w:pStyle w:val="BodyText"/>
              <w:rPr>
                <w:lang w:val="en-NZ"/>
              </w:rPr>
            </w:pPr>
            <w:r w:rsidRPr="00301BC9">
              <w:t>This describes the essential skills and knowledge and their level, required for this unit.</w:t>
            </w:r>
          </w:p>
        </w:tc>
      </w:tr>
      <w:tr w:rsidTr="00301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BC9">
            <w:pPr>
              <w:pStyle w:val="BodyText"/>
              <w:rPr>
                <w:lang w:val="en-NZ"/>
              </w:rPr>
            </w:pPr>
            <w:r w:rsidRPr="00301BC9">
              <w:rPr>
                <w:rStyle w:val="SpecialBold"/>
              </w:rPr>
              <w:t>Required Skills</w:t>
            </w:r>
          </w:p>
        </w:tc>
      </w:tr>
      <w:tr w:rsidTr="00301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BC9" w:rsidP="00301BC9">
            <w:pPr>
              <w:pStyle w:val="ListBullet"/>
            </w:pPr>
            <w:r w:rsidRPr="00301BC9">
              <w:t>analyse expert findings</w:t>
            </w:r>
          </w:p>
          <w:p w:rsidR="00000000" w:rsidRPr="00301BC9" w:rsidP="00301BC9">
            <w:pPr>
              <w:pStyle w:val="ListBullet"/>
            </w:pPr>
            <w:r w:rsidRPr="00301BC9">
              <w:t xml:space="preserve">apply methods, techniques and equipment for handling and storing evidence </w:t>
            </w:r>
          </w:p>
          <w:p w:rsidR="00000000" w:rsidRPr="00301BC9" w:rsidP="00301BC9">
            <w:pPr>
              <w:pStyle w:val="ListBullet"/>
            </w:pPr>
            <w:r w:rsidRPr="00301BC9">
              <w:t>apply principles of investigation based on scientific method</w:t>
            </w:r>
          </w:p>
          <w:p w:rsidR="00000000" w:rsidRPr="00301BC9" w:rsidP="00301BC9">
            <w:pPr>
              <w:pStyle w:val="ListBullet"/>
            </w:pPr>
            <w:r w:rsidRPr="00301BC9">
              <w:t>identify potential ignition sources and process of elimination</w:t>
            </w:r>
          </w:p>
          <w:p w:rsidR="00000000" w:rsidRPr="00301BC9" w:rsidP="00301BC9">
            <w:pPr>
              <w:pStyle w:val="ListBullet"/>
            </w:pPr>
            <w:r w:rsidRPr="00301BC9">
              <w:t>package, label and store evidenc</w:t>
            </w:r>
            <w:r w:rsidRPr="00301BC9">
              <w:t>e for transport</w:t>
            </w:r>
          </w:p>
          <w:p w:rsidR="00000000" w:rsidRPr="00301BC9" w:rsidP="00301BC9">
            <w:pPr>
              <w:pStyle w:val="ListBullet"/>
            </w:pPr>
            <w:r w:rsidRPr="00301BC9">
              <w:t>preserve and avoid damage or contamination of evidence</w:t>
            </w:r>
          </w:p>
          <w:p w:rsidR="00000000" w:rsidRPr="00301BC9" w:rsidP="00301BC9">
            <w:pPr>
              <w:pStyle w:val="ListBullet"/>
            </w:pPr>
            <w:r w:rsidRPr="00301BC9">
              <w:t>research product information such as price, product recall, manufacturers’ information</w:t>
            </w:r>
          </w:p>
          <w:p w:rsidR="00000000" w:rsidRPr="00301BC9" w:rsidP="00301BC9">
            <w:pPr>
              <w:pStyle w:val="ListBullet"/>
            </w:pPr>
            <w:r w:rsidRPr="00301BC9">
              <w:t xml:space="preserve">undertake an external and internal assessment of scene </w:t>
            </w:r>
          </w:p>
          <w:p w:rsidR="00000000" w:rsidRPr="00301BC9" w:rsidP="00301BC9">
            <w:pPr>
              <w:pStyle w:val="ListBullet"/>
            </w:pPr>
            <w:r w:rsidRPr="00301BC9">
              <w:t>use information technology to access and e</w:t>
            </w:r>
            <w:r w:rsidRPr="00301BC9">
              <w:t>nter internal and external information and data</w:t>
            </w:r>
          </w:p>
          <w:p w:rsidR="00000000" w:rsidP="00301BC9">
            <w:pPr>
              <w:pStyle w:val="ListBullet"/>
              <w:rPr>
                <w:lang w:val="en-NZ"/>
              </w:rPr>
            </w:pPr>
            <w:r w:rsidRPr="00301BC9">
              <w:t xml:space="preserve">use visual and electric recording equipment </w:t>
            </w:r>
          </w:p>
        </w:tc>
      </w:tr>
      <w:tr w:rsidTr="00301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BC9">
            <w:pPr>
              <w:pStyle w:val="BodyText"/>
              <w:rPr>
                <w:lang w:val="en-NZ"/>
              </w:rPr>
            </w:pPr>
            <w:r w:rsidRPr="00301BC9">
              <w:rPr>
                <w:rStyle w:val="SpecialBold"/>
              </w:rPr>
              <w:t>Required Knowledge</w:t>
            </w:r>
          </w:p>
        </w:tc>
      </w:tr>
      <w:tr w:rsidTr="00301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BC9" w:rsidP="00301BC9">
            <w:pPr>
              <w:pStyle w:val="ListBullet"/>
            </w:pPr>
            <w:r w:rsidRPr="00301BC9">
              <w:t>agreed protocols, agency procedures, legal, regulatory or organisational stated procedures and requirements for the investigation of incident</w:t>
            </w:r>
            <w:r w:rsidRPr="00301BC9">
              <w:t>s involving fire</w:t>
            </w:r>
          </w:p>
          <w:p w:rsidR="00000000" w:rsidRPr="00301BC9" w:rsidP="00301BC9">
            <w:pPr>
              <w:pStyle w:val="ListBullet"/>
            </w:pPr>
            <w:r w:rsidRPr="00301BC9">
              <w:t xml:space="preserve">basic circuit diagrams and electrical plans relating to electric components and equipment </w:t>
            </w:r>
          </w:p>
          <w:p w:rsidR="00000000" w:rsidRPr="00301BC9" w:rsidP="00301BC9">
            <w:pPr>
              <w:pStyle w:val="ListBullet"/>
            </w:pPr>
            <w:r w:rsidRPr="00301BC9">
              <w:t>laboratory or specialist testing sequence of electrical items</w:t>
            </w:r>
          </w:p>
          <w:p w:rsidR="00000000" w:rsidRPr="00301BC9" w:rsidP="00301BC9">
            <w:pPr>
              <w:pStyle w:val="ListBullet"/>
            </w:pPr>
            <w:r w:rsidRPr="00301BC9">
              <w:t>OHS legislation and its application</w:t>
            </w:r>
          </w:p>
          <w:p w:rsidR="00000000" w:rsidRPr="00301BC9" w:rsidP="00301BC9">
            <w:pPr>
              <w:pStyle w:val="ListBullet"/>
            </w:pPr>
            <w:r w:rsidRPr="00301BC9">
              <w:t>operation of electrical/electronic equipment and appliances</w:t>
            </w:r>
          </w:p>
          <w:p w:rsidR="00000000" w:rsidRPr="00301BC9" w:rsidP="00301BC9">
            <w:pPr>
              <w:pStyle w:val="ListBullet"/>
            </w:pPr>
            <w:r w:rsidRPr="00301BC9">
              <w:t xml:space="preserve">procedures for conducting excessive heat stress tests on electrical equipment and appliances </w:t>
            </w:r>
          </w:p>
          <w:p w:rsidR="00000000" w:rsidRPr="00301BC9" w:rsidP="00301BC9">
            <w:pPr>
              <w:pStyle w:val="ListBullet"/>
            </w:pPr>
            <w:r w:rsidRPr="00301BC9">
              <w:t>relevant Australian Standards and international standards relating to electrical installations and app</w:t>
            </w:r>
            <w:r w:rsidRPr="00301BC9">
              <w:t>liances</w:t>
            </w:r>
          </w:p>
          <w:p w:rsidR="00000000" w:rsidRPr="00301BC9" w:rsidP="00301BC9">
            <w:pPr>
              <w:pStyle w:val="ListBullet"/>
            </w:pPr>
            <w:r w:rsidRPr="00301BC9">
              <w:t>rules of evidence</w:t>
            </w:r>
          </w:p>
        </w:tc>
      </w:tr>
    </w:tbl>
    <w:p w:rsidR="00000000" w:rsidRPr="00301BC9" w:rsidP="00301BC9">
      <w:pPr>
        <w:pStyle w:val="BodyText"/>
      </w:pPr>
    </w:p>
    <w:p w:rsidR="00000000" w:rsidRPr="00301BC9" w:rsidP="00301BC9">
      <w:pPr>
        <w:pStyle w:val="AllowPageBreak"/>
      </w:pPr>
    </w:p>
    <w:p w:rsidR="00000000" w:rsidRPr="00301BC9" w:rsidP="00301BC9">
      <w:pPr>
        <w:pStyle w:val="Heading1"/>
      </w:pPr>
      <w:bookmarkStart w:id="10" w:name="O_570863"/>
      <w:bookmarkEnd w:id="10"/>
      <w:r w:rsidRPr="00301BC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5954"/>
      </w:tblGrid>
      <w:tr w:rsidTr="00301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BC9">
            <w:pPr>
              <w:pStyle w:val="BodyText"/>
              <w:rPr>
                <w:lang w:val="en-NZ"/>
              </w:rPr>
            </w:pPr>
            <w:r w:rsidRPr="00301BC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BC9" w:rsidP="00301BC9">
            <w:pPr>
              <w:pStyle w:val="BodyText"/>
            </w:pPr>
            <w:r w:rsidRPr="00301BC9">
              <w:t>Assessment must confirm the ability to:</w:t>
            </w:r>
          </w:p>
          <w:p w:rsidR="00000000" w:rsidRPr="00301BC9" w:rsidP="00301BC9">
            <w:pPr>
              <w:pStyle w:val="ListBullet"/>
            </w:pPr>
            <w:r w:rsidRPr="00301BC9">
              <w:t>methodically examine fire scenes in which electrical installat</w:t>
            </w:r>
            <w:r w:rsidRPr="00301BC9">
              <w:t xml:space="preserve">ions may have a potential relationship </w:t>
            </w:r>
          </w:p>
          <w:p w:rsidR="00000000" w:rsidRPr="00301BC9" w:rsidP="00301BC9">
            <w:pPr>
              <w:pStyle w:val="ListBullet"/>
            </w:pPr>
            <w:r w:rsidRPr="00301BC9">
              <w:t>demonstrate knowledge of basic electrical circuitry</w:t>
            </w:r>
          </w:p>
          <w:p w:rsidR="00000000" w:rsidRPr="00301BC9" w:rsidP="00301BC9">
            <w:pPr>
              <w:pStyle w:val="ListBullet"/>
            </w:pPr>
            <w:r w:rsidRPr="00301BC9">
              <w:t>apply relevant laws, legislation, codes of practice and relevant standards to fire investigation</w:t>
            </w:r>
          </w:p>
          <w:p w:rsidR="00000000" w:rsidRPr="00301BC9" w:rsidP="00301BC9">
            <w:pPr>
              <w:pStyle w:val="ListBullet"/>
            </w:pPr>
            <w:r w:rsidRPr="00301BC9">
              <w:t>document findings identifying components of electrical equipment (prior to and post fire) and relationships (or not) to any possible electrical causes of ignition to a fire scene.</w:t>
            </w:r>
          </w:p>
          <w:p w:rsidR="00000000" w:rsidRPr="00301BC9" w:rsidP="00301BC9">
            <w:pPr>
              <w:pStyle w:val="BodyText"/>
            </w:pPr>
            <w:r w:rsidRPr="00301BC9">
              <w:rPr>
                <w:rStyle w:val="SpecialBold"/>
              </w:rPr>
              <w:t>Consistency in performance</w:t>
            </w:r>
          </w:p>
          <w:p w:rsidR="00000000" w:rsidP="00301BC9">
            <w:pPr>
              <w:pStyle w:val="BodyText"/>
              <w:rPr>
                <w:lang w:val="en-NZ"/>
              </w:rPr>
            </w:pPr>
            <w:r w:rsidRPr="00301BC9">
              <w:t>Competency should be demonstrated over time and a</w:t>
            </w:r>
            <w:r w:rsidRPr="00301BC9">
              <w:t>cross a range of workplace and/or simulated situations.</w:t>
            </w:r>
          </w:p>
        </w:tc>
      </w:tr>
      <w:tr w:rsidTr="00301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BC9" w:rsidP="00301BC9">
            <w:pPr>
              <w:pStyle w:val="BodyText"/>
            </w:pPr>
            <w:r w:rsidRPr="00301BC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BC9" w:rsidP="00301BC9">
            <w:pPr>
              <w:pStyle w:val="BodyText"/>
            </w:pPr>
            <w:r w:rsidRPr="00301BC9">
              <w:rPr>
                <w:rStyle w:val="SpecialBold"/>
              </w:rPr>
              <w:t>Context of assessment</w:t>
            </w:r>
          </w:p>
          <w:p w:rsidR="00000000" w:rsidRPr="00301BC9" w:rsidP="00301BC9">
            <w:pPr>
              <w:pStyle w:val="BodyText"/>
            </w:pPr>
            <w:r w:rsidRPr="00301BC9">
              <w:t>Competency should be assessed in the workplace or in a simulated workplace environment.</w:t>
            </w:r>
          </w:p>
          <w:p w:rsidR="00000000" w:rsidRPr="00301BC9" w:rsidP="00301BC9">
            <w:pPr>
              <w:pStyle w:val="BodyText"/>
            </w:pPr>
            <w:r w:rsidRPr="00301BC9">
              <w:rPr>
                <w:rStyle w:val="SpecialBold"/>
              </w:rPr>
              <w:t>Specific resources for assessment</w:t>
            </w:r>
          </w:p>
          <w:p w:rsidR="00000000" w:rsidRPr="00301BC9" w:rsidP="00301BC9">
            <w:pPr>
              <w:pStyle w:val="BodyText"/>
            </w:pPr>
            <w:r w:rsidRPr="00301BC9">
              <w:t>Access</w:t>
            </w:r>
            <w:r w:rsidRPr="00301BC9">
              <w:t xml:space="preserve"> is required to:</w:t>
            </w:r>
          </w:p>
          <w:p w:rsidR="00000000" w:rsidRPr="00301BC9" w:rsidP="00301BC9">
            <w:pPr>
              <w:pStyle w:val="ListBullet"/>
            </w:pPr>
            <w:r w:rsidRPr="00301BC9">
              <w:t>various electrical circuitry, electrical equipment and appliances</w:t>
            </w:r>
          </w:p>
          <w:p w:rsidR="00000000" w:rsidRPr="00301BC9" w:rsidP="00301BC9">
            <w:pPr>
              <w:pStyle w:val="ListBullet"/>
            </w:pPr>
            <w:r w:rsidRPr="00301BC9">
              <w:t>fire scene or simulation</w:t>
            </w:r>
          </w:p>
          <w:p w:rsidR="00000000" w:rsidRPr="00301BC9" w:rsidP="00301BC9">
            <w:pPr>
              <w:pStyle w:val="ListBullet"/>
            </w:pPr>
            <w:r w:rsidRPr="00301BC9">
              <w:t xml:space="preserve">electrical circuitry, electrical equipment and appliances damaged by electrical faults which resulted in fire </w:t>
            </w:r>
          </w:p>
          <w:p w:rsidR="00000000" w:rsidRPr="00301BC9" w:rsidP="00301BC9">
            <w:pPr>
              <w:pStyle w:val="ListBullet"/>
            </w:pPr>
            <w:r w:rsidRPr="00301BC9">
              <w:t xml:space="preserve">legislation, policy, procedures and </w:t>
            </w:r>
            <w:r w:rsidRPr="00301BC9">
              <w:t>protocols relating to gathering and managing evidence</w:t>
            </w:r>
          </w:p>
          <w:p w:rsidR="00000000" w:rsidP="00301BC9">
            <w:pPr>
              <w:pStyle w:val="ListBullet"/>
              <w:rPr>
                <w:lang w:val="en-NZ"/>
              </w:rPr>
            </w:pPr>
            <w:r w:rsidRPr="00301BC9">
              <w:t>case studies and workplace scenarios to capture the range of offences likely to occur for which evidence needs to be gathered and managed.</w:t>
            </w:r>
          </w:p>
        </w:tc>
      </w:tr>
      <w:tr w:rsidTr="00301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BC9">
            <w:pPr>
              <w:pStyle w:val="BodyText"/>
              <w:rPr>
                <w:lang w:val="en-NZ"/>
              </w:rPr>
            </w:pPr>
            <w:r w:rsidRPr="00301BC9">
              <w:rPr>
                <w:rStyle w:val="SpecialBold"/>
              </w:rPr>
              <w:t>Guidance information for assessment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BC9" w:rsidP="00301BC9">
            <w:pPr>
              <w:pStyle w:val="BodyText"/>
            </w:pPr>
            <w:r w:rsidRPr="00301BC9">
              <w:t xml:space="preserve">Assessment methods suitable for valid and reliable assessment of this unit may include a combination of: </w:t>
            </w:r>
          </w:p>
          <w:p w:rsidR="00000000" w:rsidRPr="00301BC9" w:rsidP="00301BC9">
            <w:pPr>
              <w:pStyle w:val="ListBullet"/>
            </w:pPr>
            <w:r w:rsidRPr="00301BC9">
              <w:t>case studies</w:t>
            </w:r>
          </w:p>
          <w:p w:rsidR="00000000" w:rsidRPr="00301BC9" w:rsidP="00301BC9">
            <w:pPr>
              <w:pStyle w:val="ListBullet"/>
            </w:pPr>
            <w:r w:rsidRPr="00301BC9">
              <w:t>demonstration</w:t>
            </w:r>
          </w:p>
          <w:p w:rsidR="00000000" w:rsidRPr="00301BC9" w:rsidP="00301BC9">
            <w:pPr>
              <w:pStyle w:val="ListBullet"/>
            </w:pPr>
            <w:r w:rsidRPr="00301BC9">
              <w:t>observation</w:t>
            </w:r>
          </w:p>
          <w:p w:rsidR="00000000" w:rsidRPr="00301BC9" w:rsidP="00301BC9">
            <w:pPr>
              <w:pStyle w:val="ListBullet"/>
            </w:pPr>
            <w:r w:rsidRPr="00301BC9">
              <w:t>questioning</w:t>
            </w:r>
          </w:p>
          <w:p w:rsidR="00000000" w:rsidRPr="00301BC9" w:rsidP="00301BC9">
            <w:pPr>
              <w:pStyle w:val="ListBullet"/>
            </w:pPr>
            <w:r w:rsidRPr="00301BC9">
              <w:t>scenarios</w:t>
            </w:r>
          </w:p>
          <w:p w:rsidR="00000000" w:rsidRPr="00301BC9" w:rsidP="00301BC9">
            <w:pPr>
              <w:pStyle w:val="ListBullet"/>
            </w:pPr>
            <w:r w:rsidRPr="00301BC9">
              <w:t>authenticated evidence from the workplace.</w:t>
            </w:r>
          </w:p>
        </w:tc>
      </w:tr>
    </w:tbl>
    <w:p w:rsidR="00B154C8" w:rsidP="00301BC9">
      <w:pPr>
        <w:pStyle w:val="BodyText"/>
      </w:pPr>
    </w:p>
    <w:p w:rsidR="00B154C8" w:rsidP="00301BC9">
      <w:pPr>
        <w:pStyle w:val="BodyText"/>
      </w:pPr>
    </w:p>
    <w:p w:rsidR="00000000" w:rsidRPr="00301BC9" w:rsidP="00301BC9">
      <w:pPr>
        <w:pStyle w:val="Heading1"/>
      </w:pPr>
      <w:bookmarkStart w:id="11" w:name="O_570862"/>
      <w:bookmarkEnd w:id="11"/>
      <w:r w:rsidRPr="00301BC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5954"/>
      </w:tblGrid>
      <w:tr w:rsidTr="00301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BC9">
            <w:pPr>
              <w:pStyle w:val="BodyText"/>
              <w:rPr>
                <w:lang w:val="en-NZ"/>
              </w:rPr>
            </w:pPr>
            <w:r w:rsidRPr="00301BC9">
              <w:t xml:space="preserve">The Range Statement relates to the Unit of Competency as a whole. It allows for different work environments and situations that may affect performance. </w:t>
            </w:r>
            <w:r w:rsidRPr="00301BC9">
              <w:rPr>
                <w:rStyle w:val="BoldandItalics"/>
              </w:rPr>
              <w:t>Bold italicised</w:t>
            </w:r>
            <w:r w:rsidRPr="00301BC9">
              <w:t xml:space="preserve"> wording in the Performance Criteria is detailed below.</w:t>
            </w:r>
          </w:p>
        </w:tc>
      </w:tr>
      <w:tr w:rsidTr="00301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BC9">
            <w:pPr>
              <w:pStyle w:val="BodyText"/>
              <w:rPr>
                <w:lang w:val="en-NZ"/>
              </w:rPr>
            </w:pPr>
            <w:r w:rsidRPr="00301BC9">
              <w:rPr>
                <w:rStyle w:val="BoldandItalics"/>
              </w:rPr>
              <w:t>Agencies</w:t>
            </w:r>
            <w:r w:rsidRPr="00301BC9">
              <w:t xml:space="preserve"> may include: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BC9" w:rsidP="00301BC9">
            <w:pPr>
              <w:pStyle w:val="ListBullet"/>
            </w:pPr>
            <w:r w:rsidRPr="00301BC9">
              <w:t>Coroner</w:t>
            </w:r>
          </w:p>
          <w:p w:rsidR="00000000" w:rsidRPr="00301BC9" w:rsidP="00301BC9">
            <w:pPr>
              <w:pStyle w:val="ListBullet"/>
            </w:pPr>
            <w:r w:rsidRPr="00301BC9">
              <w:t>Electrical authorities</w:t>
            </w:r>
          </w:p>
          <w:p w:rsidR="00000000" w:rsidRPr="00301BC9" w:rsidP="00301BC9">
            <w:pPr>
              <w:pStyle w:val="ListBullet"/>
            </w:pPr>
            <w:r w:rsidRPr="00301BC9">
              <w:t>Forensic scientists</w:t>
            </w:r>
          </w:p>
          <w:p w:rsidR="00000000" w:rsidRPr="00301BC9" w:rsidP="00301BC9">
            <w:pPr>
              <w:pStyle w:val="ListBullet"/>
            </w:pPr>
            <w:r w:rsidRPr="00301BC9">
              <w:t>Gas authorities</w:t>
            </w:r>
          </w:p>
          <w:p w:rsidR="00000000" w:rsidRPr="00301BC9" w:rsidP="00301BC9">
            <w:pPr>
              <w:pStyle w:val="ListBullet"/>
            </w:pPr>
            <w:r w:rsidRPr="00301BC9">
              <w:t>Industry peak bodies</w:t>
            </w:r>
          </w:p>
          <w:p w:rsidR="00000000" w:rsidRPr="00301BC9" w:rsidP="00301BC9">
            <w:pPr>
              <w:pStyle w:val="ListBullet"/>
            </w:pPr>
            <w:r w:rsidRPr="00301BC9">
              <w:t>Insurance investigators, assessors and construction companies (to ‘make safe’ properties)</w:t>
            </w:r>
          </w:p>
          <w:p w:rsidR="00000000" w:rsidRPr="00301BC9" w:rsidP="00301BC9">
            <w:pPr>
              <w:pStyle w:val="ListBullet"/>
            </w:pPr>
            <w:r w:rsidRPr="00301BC9">
              <w:t>Other statutory authorities</w:t>
            </w:r>
          </w:p>
          <w:p w:rsidR="00000000" w:rsidP="00301BC9">
            <w:pPr>
              <w:pStyle w:val="ListBullet"/>
              <w:rPr>
                <w:lang w:val="en-NZ"/>
              </w:rPr>
            </w:pPr>
            <w:r w:rsidRPr="00301BC9">
              <w:t>Police investigators</w:t>
            </w:r>
          </w:p>
        </w:tc>
      </w:tr>
      <w:tr w:rsidTr="00301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BC9">
            <w:pPr>
              <w:pStyle w:val="BodyText"/>
              <w:rPr>
                <w:lang w:val="en-NZ"/>
              </w:rPr>
            </w:pPr>
            <w:r w:rsidRPr="00301BC9">
              <w:rPr>
                <w:rStyle w:val="BoldandItalics"/>
              </w:rPr>
              <w:t>Support personnel</w:t>
            </w:r>
            <w:r w:rsidRPr="00301BC9">
              <w:t xml:space="preserve"> may include: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BC9" w:rsidP="00301BC9">
            <w:pPr>
              <w:pStyle w:val="ListBullet"/>
            </w:pPr>
            <w:r w:rsidRPr="00301BC9">
              <w:t>Government and private forensic chemists</w:t>
            </w:r>
          </w:p>
          <w:p w:rsidR="00000000" w:rsidRPr="00301BC9" w:rsidP="00301BC9">
            <w:pPr>
              <w:pStyle w:val="ListBullet"/>
            </w:pPr>
            <w:r w:rsidRPr="00301BC9">
              <w:t>Insurance investigators and assessors</w:t>
            </w:r>
          </w:p>
          <w:p w:rsidR="00000000" w:rsidRPr="00301BC9" w:rsidP="00301BC9">
            <w:pPr>
              <w:pStyle w:val="ListBullet"/>
            </w:pPr>
            <w:r w:rsidRPr="00301BC9">
              <w:t>Local knowledge</w:t>
            </w:r>
          </w:p>
          <w:p w:rsidR="00000000" w:rsidP="00301BC9">
            <w:pPr>
              <w:pStyle w:val="ListBullet"/>
              <w:rPr>
                <w:lang w:val="en-NZ"/>
              </w:rPr>
            </w:pPr>
            <w:r w:rsidRPr="00301BC9">
              <w:t xml:space="preserve">Statutory bodies </w:t>
            </w:r>
          </w:p>
        </w:tc>
      </w:tr>
      <w:tr w:rsidTr="00301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BC9">
            <w:pPr>
              <w:pStyle w:val="BodyText"/>
              <w:rPr>
                <w:lang w:val="en-NZ"/>
              </w:rPr>
            </w:pPr>
            <w:r w:rsidRPr="00301BC9">
              <w:rPr>
                <w:rStyle w:val="BoldandItalics"/>
              </w:rPr>
              <w:t>Fire scene</w:t>
            </w:r>
            <w:r w:rsidRPr="00301BC9">
              <w:t xml:space="preserve"> may include: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BC9" w:rsidP="00301BC9">
            <w:pPr>
              <w:pStyle w:val="ListBullet"/>
            </w:pPr>
            <w:r w:rsidRPr="00301BC9">
              <w:t>Cable insulation</w:t>
            </w:r>
          </w:p>
          <w:p w:rsidR="00000000" w:rsidRPr="00301BC9" w:rsidP="00301BC9">
            <w:pPr>
              <w:pStyle w:val="ListBullet"/>
            </w:pPr>
            <w:r w:rsidRPr="00301BC9">
              <w:t xml:space="preserve">Circuit and component failure </w:t>
            </w:r>
          </w:p>
          <w:p w:rsidR="00000000" w:rsidRPr="00301BC9" w:rsidP="00301BC9">
            <w:pPr>
              <w:pStyle w:val="ListBullet"/>
            </w:pPr>
            <w:r w:rsidRPr="00301BC9">
              <w:t>Circuit mapping</w:t>
            </w:r>
          </w:p>
          <w:p w:rsidR="00000000" w:rsidRPr="00301BC9" w:rsidP="00301BC9">
            <w:pPr>
              <w:pStyle w:val="ListBullet"/>
            </w:pPr>
            <w:r w:rsidRPr="00301BC9">
              <w:t>Components</w:t>
            </w:r>
          </w:p>
          <w:p w:rsidR="00000000" w:rsidRPr="00301BC9" w:rsidP="00301BC9">
            <w:pPr>
              <w:pStyle w:val="ListBullet"/>
            </w:pPr>
            <w:r w:rsidRPr="00301BC9">
              <w:t xml:space="preserve">Evidence electrical tracking </w:t>
            </w:r>
          </w:p>
          <w:p w:rsidR="00000000" w:rsidRPr="00301BC9" w:rsidP="00301BC9">
            <w:pPr>
              <w:pStyle w:val="ListBullet"/>
            </w:pPr>
            <w:r w:rsidRPr="00301BC9">
              <w:t>Flame propag</w:t>
            </w:r>
            <w:r w:rsidRPr="00301BC9">
              <w:t>ation in hazardous locations</w:t>
            </w:r>
          </w:p>
          <w:p w:rsidR="00000000" w:rsidRPr="00301BC9" w:rsidP="00301BC9">
            <w:pPr>
              <w:pStyle w:val="ListBullet"/>
            </w:pPr>
            <w:r w:rsidRPr="00301BC9">
              <w:t>Operation of protective devices</w:t>
            </w:r>
          </w:p>
          <w:p w:rsidR="00000000" w:rsidP="00301BC9">
            <w:pPr>
              <w:pStyle w:val="ListBullet"/>
              <w:rPr>
                <w:lang w:val="en-NZ"/>
              </w:rPr>
            </w:pPr>
            <w:r w:rsidRPr="00301BC9">
              <w:t xml:space="preserve">Wire overheating </w:t>
            </w:r>
          </w:p>
        </w:tc>
      </w:tr>
      <w:tr w:rsidTr="00301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BC9">
            <w:pPr>
              <w:pStyle w:val="BodyText"/>
              <w:rPr>
                <w:lang w:val="en-NZ"/>
              </w:rPr>
            </w:pPr>
            <w:r w:rsidRPr="00301BC9">
              <w:rPr>
                <w:rStyle w:val="BoldandItalics"/>
              </w:rPr>
              <w:t>Electrical circuitry</w:t>
            </w:r>
            <w:r w:rsidRPr="00301BC9">
              <w:t xml:space="preserve"> includes: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BC9" w:rsidP="00301BC9">
            <w:pPr>
              <w:pStyle w:val="ListBullet"/>
            </w:pPr>
            <w:r w:rsidRPr="00301BC9">
              <w:t>Design</w:t>
            </w:r>
          </w:p>
          <w:p w:rsidR="00000000" w:rsidRPr="00301BC9" w:rsidP="00301BC9">
            <w:pPr>
              <w:pStyle w:val="ListBullet"/>
            </w:pPr>
            <w:r w:rsidRPr="00301BC9">
              <w:t>Installations</w:t>
            </w:r>
          </w:p>
          <w:p w:rsidR="00000000" w:rsidRPr="00301BC9" w:rsidP="00301BC9">
            <w:pPr>
              <w:pStyle w:val="ListBullet"/>
            </w:pPr>
            <w:r w:rsidRPr="00301BC9">
              <w:t xml:space="preserve">Overload protection </w:t>
            </w:r>
          </w:p>
          <w:p w:rsidR="00000000" w:rsidRPr="00301BC9" w:rsidP="00301BC9">
            <w:pPr>
              <w:pStyle w:val="ListBullet"/>
            </w:pPr>
            <w:r w:rsidRPr="00301BC9">
              <w:t>Power supply</w:t>
            </w:r>
          </w:p>
          <w:p w:rsidR="00000000" w:rsidRPr="00301BC9" w:rsidP="00301BC9">
            <w:pPr>
              <w:pStyle w:val="ListBullet"/>
            </w:pPr>
            <w:r w:rsidRPr="00301BC9">
              <w:t>Resistance</w:t>
            </w:r>
          </w:p>
          <w:p w:rsidR="00000000" w:rsidRPr="00301BC9" w:rsidP="00301BC9">
            <w:pPr>
              <w:pStyle w:val="ListBullet"/>
            </w:pPr>
            <w:r w:rsidRPr="00301BC9">
              <w:t>Short circuit/fault currents</w:t>
            </w:r>
          </w:p>
          <w:p w:rsidR="00000000" w:rsidP="00301BC9">
            <w:pPr>
              <w:pStyle w:val="ListBullet"/>
              <w:rPr>
                <w:lang w:val="en-NZ"/>
              </w:rPr>
            </w:pPr>
            <w:r w:rsidRPr="00301BC9">
              <w:t>Voltage – current –</w:t>
            </w:r>
            <w:r w:rsidRPr="00301BC9">
              <w:t xml:space="preserve"> kilowatts in different appliances</w:t>
            </w:r>
          </w:p>
        </w:tc>
      </w:tr>
      <w:tr w:rsidTr="00301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BC9">
            <w:pPr>
              <w:pStyle w:val="BodyText"/>
              <w:rPr>
                <w:lang w:val="en-NZ"/>
              </w:rPr>
            </w:pPr>
            <w:r w:rsidRPr="00301BC9">
              <w:rPr>
                <w:rStyle w:val="BoldandItalics"/>
              </w:rPr>
              <w:t>Electrical equipment and appliances</w:t>
            </w:r>
            <w:r w:rsidRPr="00301BC9">
              <w:t xml:space="preserve"> may include: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BC9" w:rsidP="00301BC9">
            <w:pPr>
              <w:pStyle w:val="ListBullet"/>
            </w:pPr>
            <w:r w:rsidRPr="00301BC9">
              <w:t>Electronics</w:t>
            </w:r>
          </w:p>
          <w:p w:rsidR="00000000" w:rsidRPr="00301BC9" w:rsidP="00301BC9">
            <w:pPr>
              <w:pStyle w:val="ListBullet"/>
            </w:pPr>
            <w:r w:rsidRPr="00301BC9">
              <w:t>Fans</w:t>
            </w:r>
          </w:p>
          <w:p w:rsidR="00000000" w:rsidRPr="00301BC9" w:rsidP="00301BC9">
            <w:pPr>
              <w:pStyle w:val="ListBullet"/>
            </w:pPr>
            <w:r w:rsidRPr="00301BC9">
              <w:t>Heaters</w:t>
            </w:r>
          </w:p>
          <w:p w:rsidR="00000000" w:rsidRPr="00301BC9" w:rsidP="00301BC9">
            <w:pPr>
              <w:pStyle w:val="ListBullet"/>
            </w:pPr>
            <w:r w:rsidRPr="00301BC9">
              <w:t>Installed wiring</w:t>
            </w:r>
          </w:p>
          <w:p w:rsidR="00000000" w:rsidRPr="00301BC9" w:rsidP="00301BC9">
            <w:pPr>
              <w:pStyle w:val="ListBullet"/>
            </w:pPr>
            <w:r w:rsidRPr="00301BC9">
              <w:t>Kitchen appliances such as toaster, electric kettle, microwave</w:t>
            </w:r>
          </w:p>
          <w:p w:rsidR="00000000" w:rsidRPr="00301BC9" w:rsidP="00301BC9">
            <w:pPr>
              <w:pStyle w:val="ListBullet"/>
            </w:pPr>
            <w:r w:rsidRPr="00301BC9">
              <w:t>Lights and fittings</w:t>
            </w:r>
          </w:p>
          <w:p w:rsidR="00000000" w:rsidRPr="00301BC9" w:rsidP="00301BC9">
            <w:pPr>
              <w:pStyle w:val="ListBullet"/>
            </w:pPr>
            <w:r w:rsidRPr="00301BC9">
              <w:t>Motors and switch gear</w:t>
            </w:r>
          </w:p>
          <w:p w:rsidR="00000000" w:rsidP="00301BC9">
            <w:pPr>
              <w:pStyle w:val="ListBullet"/>
              <w:rPr>
                <w:lang w:val="en-NZ"/>
              </w:rPr>
            </w:pPr>
            <w:r w:rsidRPr="00301BC9">
              <w:t>Socket outlets and switch gear</w:t>
            </w:r>
          </w:p>
        </w:tc>
      </w:tr>
      <w:tr w:rsidTr="00301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BC9">
            <w:pPr>
              <w:pStyle w:val="BodyText"/>
              <w:rPr>
                <w:lang w:val="en-NZ"/>
              </w:rPr>
            </w:pPr>
            <w:r w:rsidRPr="00301BC9">
              <w:rPr>
                <w:rStyle w:val="BoldandItalics"/>
              </w:rPr>
              <w:t xml:space="preserve">Electrical circuitry components, equipment and appliances of </w:t>
            </w:r>
            <w:r w:rsidRPr="00301BC9">
              <w:rPr>
                <w:rStyle w:val="BoldandItalics"/>
              </w:rPr>
              <w:t>evidential value</w:t>
            </w:r>
            <w:r w:rsidRPr="00301BC9">
              <w:t xml:space="preserve"> must be protected from: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BC9" w:rsidP="00301BC9">
            <w:pPr>
              <w:pStyle w:val="ListBullet"/>
            </w:pPr>
            <w:r w:rsidRPr="00301BC9">
              <w:t>Contamination</w:t>
            </w:r>
          </w:p>
          <w:p w:rsidR="00000000" w:rsidRPr="00301BC9" w:rsidP="00301BC9">
            <w:pPr>
              <w:pStyle w:val="ListBullet"/>
            </w:pPr>
            <w:r w:rsidRPr="00301BC9">
              <w:t>Damage</w:t>
            </w:r>
          </w:p>
          <w:p w:rsidR="00000000" w:rsidRPr="00301BC9" w:rsidP="00301BC9">
            <w:pPr>
              <w:pStyle w:val="ListBullet"/>
            </w:pPr>
            <w:r w:rsidRPr="00301BC9">
              <w:t>Destruction</w:t>
            </w:r>
          </w:p>
          <w:p w:rsidR="00000000" w:rsidRPr="00301BC9" w:rsidP="00301BC9">
            <w:pPr>
              <w:pStyle w:val="ListBullet"/>
            </w:pPr>
            <w:r w:rsidRPr="00301BC9">
              <w:t>Spoliation</w:t>
            </w:r>
          </w:p>
          <w:p w:rsidR="00000000" w:rsidRPr="00301BC9" w:rsidP="00301BC9">
            <w:pPr>
              <w:pStyle w:val="ListBullet"/>
            </w:pPr>
            <w:r w:rsidRPr="00301BC9">
              <w:t>Unauthorised removal</w:t>
            </w:r>
          </w:p>
        </w:tc>
      </w:tr>
    </w:tbl>
    <w:p w:rsidR="00B154C8" w:rsidP="00301BC9">
      <w:pPr>
        <w:pStyle w:val="BodyText"/>
      </w:pPr>
    </w:p>
    <w:p w:rsidR="00B154C8" w:rsidP="00301BC9">
      <w:pPr>
        <w:pStyle w:val="BodyText"/>
      </w:pPr>
    </w:p>
    <w:p w:rsidR="00000000" w:rsidRPr="00301BC9" w:rsidP="00301BC9">
      <w:pPr>
        <w:pStyle w:val="Heading1"/>
      </w:pPr>
      <w:bookmarkStart w:id="12" w:name="O_570861"/>
      <w:bookmarkEnd w:id="12"/>
      <w:r w:rsidRPr="00301BC9">
        <w:t>Unit Sector(s)</w:t>
      </w:r>
    </w:p>
    <w:p w:rsidR="00000000" w:rsidRPr="00301BC9" w:rsidP="00301BC9">
      <w:pPr>
        <w:pStyle w:val="BodyText"/>
      </w:pPr>
      <w:r w:rsidRPr="00301BC9">
        <w:t>Not applicable.</w:t>
      </w:r>
    </w:p>
    <w:p w:rsidR="00000000" w:rsidRPr="00301BC9" w:rsidP="00301BC9"/>
    <w:sectPr w:rsidSect="00301B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B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BC9" w:rsidRPr="00B154C8" w:rsidP="00B154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B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4C8" w:rsidP="00301B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154C8" w:rsidP="00301B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154C8" w:rsidP="00301B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B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BC9" w:rsidRPr="00B154C8" w:rsidP="00B154C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B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4C8" w:rsidRPr="002D2AF8" w:rsidP="00301B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PUAFIR607A Apply electrical/electronic knowledge to fire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B154C8" w:rsidP="00301B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32E7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5CDE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B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1B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1B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1B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1B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1B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1B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1B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1B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1B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1B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1BC9"/>
  </w:style>
  <w:style w:type="character" w:customStyle="1" w:styleId="Heading1Char">
    <w:name w:val="Heading 1 Char"/>
    <w:basedOn w:val="DefaultParagraphFont"/>
    <w:link w:val="Heading1"/>
    <w:rsid w:val="00301B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1BC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1B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01B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1B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1BC9"/>
    <w:rPr>
      <w:b/>
      <w:spacing w:val="0"/>
    </w:rPr>
  </w:style>
  <w:style w:type="paragraph" w:customStyle="1" w:styleId="SuperHeading">
    <w:name w:val="SuperHeading"/>
    <w:basedOn w:val="Normal"/>
    <w:rsid w:val="00301B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1B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01BC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01B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1B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1B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1B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1B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1B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1B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1B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1B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1B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1B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1B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1B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1B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1B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1B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1B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1B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01B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1B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1B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1B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1BC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1B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1B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1B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1B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1B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1B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1B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1B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1B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1BC9"/>
    <w:rPr>
      <w:i/>
    </w:rPr>
  </w:style>
  <w:style w:type="paragraph" w:styleId="Caption">
    <w:name w:val="caption"/>
    <w:basedOn w:val="BodyText"/>
    <w:next w:val="Normal"/>
    <w:qFormat/>
    <w:rsid w:val="00301B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1B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1B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1BC9"/>
  </w:style>
  <w:style w:type="paragraph" w:styleId="TableofFigures">
    <w:name w:val="table of figures"/>
    <w:basedOn w:val="Normal"/>
    <w:next w:val="Normal"/>
    <w:semiHidden/>
    <w:rsid w:val="00301B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1BC9"/>
    <w:pPr>
      <w:numPr>
        <w:numId w:val="10"/>
      </w:numPr>
    </w:pPr>
  </w:style>
  <w:style w:type="character" w:customStyle="1" w:styleId="WingdingSymbols">
    <w:name w:val="Wingding Symbols"/>
    <w:rsid w:val="00301BC9"/>
    <w:rPr>
      <w:rFonts w:ascii="Wingdings" w:hAnsi="Wingdings"/>
    </w:rPr>
  </w:style>
  <w:style w:type="paragraph" w:customStyle="1" w:styleId="TableHeading">
    <w:name w:val="Table Heading"/>
    <w:basedOn w:val="HeadingBase"/>
    <w:rsid w:val="00301B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1BC9"/>
    <w:rPr>
      <w:color w:val="0033CC"/>
      <w:u w:val="none"/>
    </w:rPr>
  </w:style>
  <w:style w:type="paragraph" w:customStyle="1" w:styleId="BodyTextRight">
    <w:name w:val="Body Text Right"/>
    <w:basedOn w:val="BodyText"/>
    <w:rsid w:val="00301B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1B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1B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1B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1B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1B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1BC9"/>
    <w:rPr>
      <w:sz w:val="32"/>
    </w:rPr>
  </w:style>
  <w:style w:type="paragraph" w:customStyle="1" w:styleId="HeadingProcedure">
    <w:name w:val="Heading Procedure"/>
    <w:basedOn w:val="HeadingBase"/>
    <w:next w:val="Normal"/>
    <w:rsid w:val="00301B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1BC9"/>
    <w:pPr>
      <w:spacing w:before="60" w:after="60"/>
    </w:pPr>
  </w:style>
  <w:style w:type="paragraph" w:styleId="ListContinue">
    <w:name w:val="List Continue"/>
    <w:basedOn w:val="List"/>
    <w:rsid w:val="00301BC9"/>
    <w:pPr>
      <w:ind w:firstLine="0"/>
    </w:pPr>
  </w:style>
  <w:style w:type="paragraph" w:customStyle="1" w:styleId="ListNote">
    <w:name w:val="List Note"/>
    <w:basedOn w:val="List"/>
    <w:rsid w:val="00301B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1B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1B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1BC9"/>
    <w:rPr>
      <w:rFonts w:ascii="Courier New" w:hAnsi="Courier New"/>
    </w:rPr>
  </w:style>
  <w:style w:type="paragraph" w:customStyle="1" w:styleId="NoteBullet">
    <w:name w:val="Note Bullet"/>
    <w:basedOn w:val="Note"/>
    <w:rsid w:val="00301B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1B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1B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1B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1B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1B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1B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1BC9"/>
    <w:rPr>
      <w:b/>
      <w:smallCaps/>
    </w:rPr>
  </w:style>
  <w:style w:type="paragraph" w:customStyle="1" w:styleId="TableListNumber">
    <w:name w:val="Table List Number"/>
    <w:basedOn w:val="ListNumber"/>
    <w:rsid w:val="00301B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1B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1BC9"/>
    <w:pPr>
      <w:numPr>
        <w:numId w:val="8"/>
      </w:numPr>
    </w:pPr>
  </w:style>
  <w:style w:type="paragraph" w:customStyle="1" w:styleId="ListAlpha2">
    <w:name w:val="List Alpha 2"/>
    <w:basedOn w:val="List2"/>
    <w:rsid w:val="00301BC9"/>
    <w:pPr>
      <w:numPr>
        <w:numId w:val="7"/>
      </w:numPr>
    </w:pPr>
  </w:style>
  <w:style w:type="paragraph" w:styleId="List2">
    <w:name w:val="List 2"/>
    <w:basedOn w:val="BodyText"/>
    <w:rsid w:val="00301B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1B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1B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1B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1B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1BC9"/>
    <w:pPr>
      <w:numPr>
        <w:numId w:val="2"/>
      </w:numPr>
    </w:pPr>
  </w:style>
  <w:style w:type="paragraph" w:styleId="ListBullet5">
    <w:name w:val="List Bullet 5"/>
    <w:basedOn w:val="List5"/>
    <w:rsid w:val="00301BC9"/>
    <w:pPr>
      <w:numPr>
        <w:numId w:val="3"/>
      </w:numPr>
    </w:pPr>
  </w:style>
  <w:style w:type="paragraph" w:styleId="ListContinue2">
    <w:name w:val="List Continue 2"/>
    <w:basedOn w:val="List2"/>
    <w:rsid w:val="00301BC9"/>
    <w:pPr>
      <w:ind w:firstLine="0"/>
    </w:pPr>
  </w:style>
  <w:style w:type="paragraph" w:styleId="ListContinue3">
    <w:name w:val="List Continue 3"/>
    <w:basedOn w:val="List3"/>
    <w:rsid w:val="00301BC9"/>
    <w:pPr>
      <w:ind w:left="1021" w:firstLine="0"/>
    </w:pPr>
  </w:style>
  <w:style w:type="paragraph" w:styleId="ListContinue4">
    <w:name w:val="List Continue 4"/>
    <w:basedOn w:val="List4"/>
    <w:rsid w:val="00301BC9"/>
    <w:pPr>
      <w:ind w:firstLine="0"/>
    </w:pPr>
  </w:style>
  <w:style w:type="paragraph" w:styleId="ListContinue5">
    <w:name w:val="List Continue 5"/>
    <w:basedOn w:val="List5"/>
    <w:rsid w:val="00301BC9"/>
    <w:pPr>
      <w:ind w:firstLine="0"/>
    </w:pPr>
  </w:style>
  <w:style w:type="paragraph" w:styleId="ListNumber3">
    <w:name w:val="List Number 3"/>
    <w:basedOn w:val="List3"/>
    <w:rsid w:val="00301BC9"/>
    <w:pPr>
      <w:numPr>
        <w:numId w:val="4"/>
      </w:numPr>
    </w:pPr>
  </w:style>
  <w:style w:type="paragraph" w:styleId="ListNumber4">
    <w:name w:val="List Number 4"/>
    <w:basedOn w:val="List4"/>
    <w:rsid w:val="00301BC9"/>
    <w:pPr>
      <w:numPr>
        <w:numId w:val="5"/>
      </w:numPr>
    </w:pPr>
  </w:style>
  <w:style w:type="paragraph" w:styleId="ListNumber5">
    <w:name w:val="List Number 5"/>
    <w:basedOn w:val="List5"/>
    <w:rsid w:val="00301BC9"/>
    <w:pPr>
      <w:numPr>
        <w:numId w:val="6"/>
      </w:numPr>
    </w:pPr>
  </w:style>
  <w:style w:type="paragraph" w:styleId="BlockText">
    <w:name w:val="Block Text"/>
    <w:basedOn w:val="Normal"/>
    <w:rsid w:val="00301B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1B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1BC9"/>
    <w:rPr>
      <w:sz w:val="16"/>
      <w:vertAlign w:val="superscript"/>
    </w:rPr>
  </w:style>
  <w:style w:type="character" w:customStyle="1" w:styleId="Symbols">
    <w:name w:val="Symbols"/>
    <w:basedOn w:val="DefaultParagraphFont"/>
    <w:rsid w:val="00301BC9"/>
    <w:rPr>
      <w:rFonts w:ascii="Symbol" w:hAnsi="Symbol"/>
    </w:rPr>
  </w:style>
  <w:style w:type="character" w:customStyle="1" w:styleId="MenuOptions">
    <w:name w:val="Menu Options"/>
    <w:basedOn w:val="DefaultParagraphFont"/>
    <w:rsid w:val="00301B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1BC9"/>
    <w:rPr>
      <w:b/>
    </w:rPr>
  </w:style>
  <w:style w:type="character" w:customStyle="1" w:styleId="Underlined">
    <w:name w:val="Underlined"/>
    <w:basedOn w:val="DefaultParagraphFont"/>
    <w:rsid w:val="00301BC9"/>
    <w:rPr>
      <w:u w:val="single"/>
    </w:rPr>
  </w:style>
  <w:style w:type="paragraph" w:customStyle="1" w:styleId="TableBodyTextRight">
    <w:name w:val="Table Body Text Right"/>
    <w:basedOn w:val="TableBodyText"/>
    <w:rsid w:val="00301B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1BC9"/>
    <w:rPr>
      <w:sz w:val="18"/>
    </w:rPr>
  </w:style>
  <w:style w:type="paragraph" w:customStyle="1" w:styleId="BodySmallRight">
    <w:name w:val="Body Small Right"/>
    <w:basedOn w:val="BodyTextRight"/>
    <w:rsid w:val="00301BC9"/>
    <w:rPr>
      <w:sz w:val="18"/>
      <w:szCs w:val="18"/>
    </w:rPr>
  </w:style>
  <w:style w:type="paragraph" w:customStyle="1" w:styleId="MarginEdition">
    <w:name w:val="Margin Edition"/>
    <w:basedOn w:val="MarginNote"/>
    <w:rsid w:val="00301B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1BC9"/>
    <w:rPr>
      <w:sz w:val="2"/>
      <w:szCs w:val="2"/>
    </w:rPr>
  </w:style>
  <w:style w:type="character" w:customStyle="1" w:styleId="Small">
    <w:name w:val="Small"/>
    <w:basedOn w:val="DefaultParagraphFont"/>
    <w:rsid w:val="00301BC9"/>
    <w:rPr>
      <w:sz w:val="16"/>
    </w:rPr>
  </w:style>
  <w:style w:type="paragraph" w:customStyle="1" w:styleId="WideTable">
    <w:name w:val="Wide Table"/>
    <w:basedOn w:val="Normal"/>
    <w:rsid w:val="00301B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1BC9"/>
  </w:style>
  <w:style w:type="paragraph" w:styleId="Quote">
    <w:name w:val="Quote"/>
    <w:basedOn w:val="Heading1"/>
    <w:link w:val="QuoteChar"/>
    <w:qFormat/>
    <w:rsid w:val="00301B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1B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1BC9"/>
    <w:pPr>
      <w:pageBreakBefore/>
    </w:pPr>
  </w:style>
  <w:style w:type="paragraph" w:customStyle="1" w:styleId="Border">
    <w:name w:val="Border"/>
    <w:basedOn w:val="Normal"/>
    <w:qFormat/>
    <w:rsid w:val="00301B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1B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B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B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1B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1B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1B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1B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1B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1BC9"/>
    <w:rPr>
      <w:u w:val="single"/>
    </w:rPr>
  </w:style>
  <w:style w:type="paragraph" w:styleId="BalloonText">
    <w:name w:val="Balloon Text"/>
    <w:basedOn w:val="Normal"/>
    <w:link w:val="BalloonTextChar"/>
    <w:rsid w:val="00301B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1B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1BC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1B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1B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1BC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1260</Words>
  <Characters>8131</Characters>
  <Application>Microsoft Office Word</Application>
  <DocSecurity>0</DocSecurity>
  <Lines>272</Lines>
  <Paragraphs>165</Paragraphs>
  <ScaleCrop>false</ScaleCrop>
  <Company>Author-it Software Corporation Ltd.</Company>
  <LinksUpToDate>false</LinksUpToDate>
  <CharactersWithSpaces>9322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PUAFIR607A Apply electrical/electronic knowledge to fire investigations</dc:title>
  <dc:subject>Approved</dc:subject>
  <dc:creator>Government Skills Australia</dc:creator>
  <cp:keywords>Revision Number: 3</cp:keywords>
  <dc:description>Review Date: 12 April 2008</dc:description>
  <cp:lastModifiedBy>TPCMS</cp:lastModifiedBy>
  <cp:revision>3</cp:revision>
  <dcterms:created xsi:type="dcterms:W3CDTF">2013-10-25T06:04:00Z</dcterms:created>
  <dcterms:modified xsi:type="dcterms:W3CDTF">2013-10-25T06:05:00Z</dcterms:modified>
</cp:coreProperties>
</file>