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A49" w:rsidP="00B84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PUADEFPE003A Test fuel hoses</w:t>
      </w:r>
      <w:r>
        <w:fldChar w:fldCharType="end"/>
      </w:r>
    </w:p>
    <w:p w:rsidR="00B84A49" w:rsidP="00B84A49">
      <w:pPr>
        <w:pStyle w:val="Version"/>
        <w:sectPr w:rsidSect="009A7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A79A1" w:rsidP="009A79A1">
      <w:pPr>
        <w:pStyle w:val="SuperHeading"/>
      </w:pPr>
      <w:r w:rsidRPr="009A79A1">
        <w:t>PUADEFPE003A Test fuel hoses</w:t>
      </w:r>
    </w:p>
    <w:p w:rsidR="00000000" w:rsidRPr="009A79A1" w:rsidP="009A79A1">
      <w:pPr>
        <w:pStyle w:val="SuperHeading"/>
      </w:pPr>
    </w:p>
    <w:p w:rsidR="00000000" w:rsidRPr="009A79A1" w:rsidP="009A79A1">
      <w:pPr>
        <w:pStyle w:val="Heading1"/>
      </w:pPr>
      <w:bookmarkStart w:id="1" w:name="O_122151"/>
      <w:bookmarkEnd w:id="1"/>
      <w:r w:rsidRPr="009A79A1">
        <w:t>Modification History</w:t>
      </w:r>
    </w:p>
    <w:p w:rsidR="00000000" w:rsidRPr="009A79A1" w:rsidP="009A79A1">
      <w:pPr>
        <w:pStyle w:val="BodyText"/>
      </w:pPr>
      <w:r w:rsidRPr="009A79A1">
        <w:t>Not applicable.</w:t>
      </w: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2" w:name="O_122152"/>
      <w:bookmarkEnd w:id="2"/>
      <w:r w:rsidRPr="009A79A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t>This unit covers the competency required to perform hydrostatic and continuity testing of petroleum hoses.</w:t>
            </w:r>
          </w:p>
          <w:p w:rsidR="00000000" w:rsidRPr="009A79A1" w:rsidP="009A79A1">
            <w:pPr>
              <w:pStyle w:val="BodyText"/>
            </w:pPr>
            <w:r w:rsidRPr="009A79A1">
              <w:t xml:space="preserve">This unit of </w:t>
            </w:r>
            <w:r w:rsidRPr="009A79A1">
              <w:t>competency has been aligned with Australian Standard 2683-2000: Hose and hose assemblies for distribution of petroleum and petroleum products (excepting LPG).</w:t>
            </w:r>
          </w:p>
        </w:tc>
      </w:tr>
    </w:tbl>
    <w:p w:rsidR="00000000" w:rsidRPr="009A79A1" w:rsidP="009A79A1">
      <w:pPr>
        <w:pStyle w:val="BodyText"/>
      </w:pP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3" w:name="O_122153"/>
      <w:bookmarkEnd w:id="3"/>
      <w:r w:rsidRPr="009A79A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>This unit applies to hoses used for the transfer of fuel products.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</w:p>
        </w:tc>
      </w:tr>
    </w:tbl>
    <w:p w:rsidR="00000000" w:rsidRPr="009A79A1" w:rsidP="009A79A1">
      <w:pPr>
        <w:pStyle w:val="BodyText"/>
      </w:pP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4" w:name="O_122154"/>
      <w:bookmarkEnd w:id="4"/>
      <w:r w:rsidRPr="009A79A1">
        <w:t>Licensing/Regulatory Information</w:t>
      </w:r>
    </w:p>
    <w:p w:rsidR="00000000" w:rsidRPr="009A79A1" w:rsidP="009A79A1">
      <w:pPr>
        <w:pStyle w:val="BodyText"/>
      </w:pPr>
      <w:r w:rsidRPr="009A79A1">
        <w:t>Not applicable.</w:t>
      </w: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5" w:name="O_122155"/>
      <w:bookmarkEnd w:id="5"/>
      <w:r w:rsidRPr="009A79A1">
        <w:t>Pre-Requisites</w:t>
      </w:r>
    </w:p>
    <w:p w:rsidR="00000000" w:rsidRPr="009A79A1" w:rsidP="009A79A1">
      <w:pPr>
        <w:pStyle w:val="BodyText"/>
      </w:pPr>
      <w:r w:rsidRPr="009A79A1">
        <w:t>Not applicable.</w:t>
      </w: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6" w:name="O_122156"/>
      <w:bookmarkEnd w:id="6"/>
      <w:r w:rsidRPr="009A79A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>This unit contains employability skills.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Pre-requisite Unit</w:t>
            </w:r>
            <w:r w:rsidRPr="009A79A1">
              <w:t>/</w:t>
            </w:r>
            <w:r w:rsidRPr="009A79A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t>Nil</w:t>
            </w:r>
          </w:p>
        </w:tc>
      </w:tr>
    </w:tbl>
    <w:p w:rsidR="00000000" w:rsidRPr="009A79A1" w:rsidP="009A79A1">
      <w:pPr>
        <w:pStyle w:val="BodyText"/>
      </w:pP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7" w:name="O_122157"/>
      <w:bookmarkEnd w:id="7"/>
      <w:r w:rsidRPr="009A79A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t>Performance Criteria describe the required performance ne</w:t>
            </w:r>
            <w:r w:rsidRPr="009A79A1">
              <w:t>eded to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A79A1" w:rsidP="009A79A1">
      <w:pPr>
        <w:pStyle w:val="BodyText"/>
      </w:pP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8" w:name="O_122158"/>
      <w:bookmarkEnd w:id="8"/>
      <w:r w:rsidRPr="009A79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PERFORMANCE CRITERIA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List"/>
              <w:rPr>
                <w:lang w:val="en-NZ"/>
              </w:rPr>
            </w:pPr>
            <w:r w:rsidRPr="009A79A1">
              <w:t>1.</w:t>
            </w:r>
            <w:r w:rsidRPr="009A79A1">
              <w:tab/>
            </w:r>
            <w:r w:rsidRPr="009A79A1">
              <w:rPr>
                <w:rStyle w:val="SpecialBold"/>
              </w:rPr>
              <w:t>Prepare for testing process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List2"/>
            </w:pPr>
            <w:r w:rsidRPr="009A79A1">
              <w:t>1.1</w:t>
            </w:r>
            <w:r w:rsidRPr="009A79A1">
              <w:tab/>
            </w:r>
            <w:r w:rsidRPr="009A79A1">
              <w:rPr>
                <w:rStyle w:val="BoldandItalics"/>
              </w:rPr>
              <w:t>Australian Standards</w:t>
            </w:r>
            <w:r w:rsidRPr="009A79A1">
              <w:t xml:space="preserve"> and </w:t>
            </w:r>
            <w:r w:rsidRPr="009A79A1">
              <w:rPr>
                <w:rStyle w:val="BoldandItalics"/>
              </w:rPr>
              <w:t>industry requirements</w:t>
            </w:r>
            <w:r w:rsidRPr="009A79A1">
              <w:t xml:space="preserve"> relating to fuel hose testing are accessed, interpreted and applied to testing process</w:t>
            </w:r>
          </w:p>
          <w:p w:rsidR="00000000" w:rsidRPr="009A79A1" w:rsidP="009A79A1">
            <w:pPr>
              <w:pStyle w:val="List2"/>
            </w:pPr>
            <w:r w:rsidRPr="009A79A1">
              <w:t>1.2</w:t>
            </w:r>
            <w:r w:rsidRPr="009A79A1">
              <w:tab/>
            </w:r>
            <w:r w:rsidRPr="009A79A1">
              <w:rPr>
                <w:rStyle w:val="BoldandItalics"/>
              </w:rPr>
              <w:t>Safety requirements</w:t>
            </w:r>
            <w:r w:rsidRPr="009A79A1">
              <w:t xml:space="preserve"> to conduct of hydrostatic and continuity testing are interpreted and applied during testing process</w:t>
            </w:r>
          </w:p>
          <w:p w:rsidR="00000000" w:rsidRPr="009A79A1" w:rsidP="009A79A1">
            <w:pPr>
              <w:pStyle w:val="List2"/>
            </w:pPr>
            <w:r w:rsidRPr="009A79A1">
              <w:t>1.3</w:t>
            </w:r>
            <w:r w:rsidRPr="009A79A1">
              <w:tab/>
            </w:r>
            <w:r w:rsidRPr="009A79A1">
              <w:rPr>
                <w:rStyle w:val="BoldandItalics"/>
              </w:rPr>
              <w:t>Test equipment</w:t>
            </w:r>
            <w:r w:rsidRPr="009A79A1">
              <w:t xml:space="preserve"> is checked for serviceability prior to operation</w:t>
            </w:r>
          </w:p>
          <w:p w:rsidR="00000000" w:rsidP="009A79A1">
            <w:pPr>
              <w:pStyle w:val="List2"/>
              <w:rPr>
                <w:lang w:val="en-NZ"/>
              </w:rPr>
            </w:pPr>
            <w:r w:rsidRPr="009A79A1">
              <w:t>1.4</w:t>
            </w:r>
            <w:r w:rsidRPr="009A79A1">
              <w:tab/>
            </w:r>
            <w:r w:rsidRPr="009A79A1">
              <w:rPr>
                <w:rStyle w:val="BoldandItalics"/>
              </w:rPr>
              <w:t>Personal protective equipment</w:t>
            </w:r>
            <w:r w:rsidRPr="009A79A1">
              <w:t xml:space="preserve"> is selected and worn during testin</w:t>
            </w:r>
            <w:r w:rsidRPr="009A79A1">
              <w:t>g process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List"/>
              <w:rPr>
                <w:lang w:val="en-NZ"/>
              </w:rPr>
            </w:pPr>
            <w:r w:rsidRPr="009A79A1">
              <w:t>2.</w:t>
            </w:r>
            <w:r w:rsidRPr="009A79A1">
              <w:tab/>
            </w:r>
            <w:r w:rsidRPr="009A79A1">
              <w:rPr>
                <w:rStyle w:val="SpecialBold"/>
              </w:rPr>
              <w:t>Perform fuel hose tests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List2"/>
            </w:pPr>
            <w:r w:rsidRPr="009A79A1">
              <w:t>2.1</w:t>
            </w:r>
            <w:r w:rsidRPr="009A79A1">
              <w:tab/>
              <w:t>Continuity tests are performed on fuel hoses in accordance with Australian Standards</w:t>
            </w:r>
          </w:p>
          <w:p w:rsidR="00000000" w:rsidRPr="009A79A1" w:rsidP="009A79A1">
            <w:pPr>
              <w:pStyle w:val="List2"/>
            </w:pPr>
            <w:r w:rsidRPr="009A79A1">
              <w:t>2.2</w:t>
            </w:r>
            <w:r w:rsidRPr="009A79A1">
              <w:tab/>
              <w:t>Hydrostatic tests are performed on fuel hoses in accordance with Australian Standards</w:t>
            </w:r>
          </w:p>
          <w:p w:rsidR="00000000" w:rsidRPr="009A79A1" w:rsidP="009A79A1">
            <w:pPr>
              <w:pStyle w:val="List2"/>
            </w:pPr>
            <w:r w:rsidRPr="009A79A1">
              <w:t>2.3</w:t>
            </w:r>
            <w:r w:rsidRPr="009A79A1">
              <w:tab/>
              <w:t>Test results are interpreted, ab</w:t>
            </w:r>
            <w:r w:rsidRPr="009A79A1">
              <w:t>normal results are analysed and secondary tests are performed where accuracy is in doubt</w:t>
            </w:r>
          </w:p>
          <w:p w:rsidR="00000000" w:rsidP="009A79A1">
            <w:pPr>
              <w:pStyle w:val="List2"/>
              <w:rPr>
                <w:lang w:val="en-NZ"/>
              </w:rPr>
            </w:pPr>
            <w:r w:rsidRPr="009A79A1">
              <w:t>2.4</w:t>
            </w:r>
            <w:r w:rsidRPr="009A79A1">
              <w:tab/>
              <w:t xml:space="preserve">Tests are performed at intervals stipulated within Australian Standards and </w:t>
            </w:r>
            <w:r w:rsidRPr="009A79A1">
              <w:rPr>
                <w:rStyle w:val="BoldandItalics"/>
              </w:rPr>
              <w:t>workplace procedures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List"/>
              <w:rPr>
                <w:lang w:val="en-NZ"/>
              </w:rPr>
            </w:pPr>
            <w:r w:rsidRPr="009A79A1">
              <w:t>3.</w:t>
            </w:r>
            <w:r w:rsidRPr="009A79A1">
              <w:tab/>
            </w:r>
            <w:r w:rsidRPr="009A79A1">
              <w:rPr>
                <w:rStyle w:val="SpecialBold"/>
              </w:rPr>
              <w:t>Finalise test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List2"/>
            </w:pPr>
            <w:r w:rsidRPr="009A79A1">
              <w:t>3.1</w:t>
            </w:r>
            <w:r w:rsidRPr="009A79A1">
              <w:tab/>
            </w:r>
            <w:r w:rsidRPr="009A79A1">
              <w:t>Test results are recorded and reported in accordance with Australian Standards and workplace procedures</w:t>
            </w:r>
          </w:p>
          <w:p w:rsidR="00000000" w:rsidRPr="009A79A1" w:rsidP="009A79A1">
            <w:pPr>
              <w:pStyle w:val="List2"/>
            </w:pPr>
            <w:r w:rsidRPr="009A79A1">
              <w:t>3.2</w:t>
            </w:r>
            <w:r w:rsidRPr="009A79A1">
              <w:tab/>
              <w:t>Hoses are classified and labelled according to test results</w:t>
            </w:r>
          </w:p>
          <w:p w:rsidR="00000000" w:rsidP="009A79A1">
            <w:pPr>
              <w:pStyle w:val="List2"/>
              <w:rPr>
                <w:lang w:val="en-NZ"/>
              </w:rPr>
            </w:pPr>
            <w:r w:rsidRPr="009A79A1">
              <w:t>3.3</w:t>
            </w:r>
            <w:r w:rsidRPr="009A79A1">
              <w:tab/>
              <w:t>Hoses which fail testing procedures are handled in accordance with Australian Standa</w:t>
            </w:r>
            <w:r w:rsidRPr="009A79A1">
              <w:t>rds and workplace procedures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</w:p>
        </w:tc>
      </w:tr>
    </w:tbl>
    <w:p w:rsidR="00000000" w:rsidRPr="009A79A1" w:rsidP="009A79A1">
      <w:pPr>
        <w:pStyle w:val="BodyText"/>
      </w:pP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9" w:name="O_122159"/>
      <w:bookmarkEnd w:id="9"/>
      <w:r w:rsidRPr="009A79A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REQUIRED SKILLS AND KNOWLEDGE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>This describes the essential skills and knowledge and their level, required for this unit.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Required Skills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ListBullet"/>
            </w:pPr>
            <w:r w:rsidRPr="009A79A1">
              <w:t>compile test documentation</w:t>
            </w:r>
          </w:p>
          <w:p w:rsidR="00000000" w:rsidRPr="009A79A1" w:rsidP="009A79A1">
            <w:pPr>
              <w:pStyle w:val="ListBullet"/>
            </w:pPr>
            <w:r w:rsidRPr="009A79A1">
              <w:t>interpret Australian Standards, regulations and technical publications</w:t>
            </w:r>
          </w:p>
          <w:p w:rsidR="00000000" w:rsidRPr="009A79A1" w:rsidP="009A79A1">
            <w:pPr>
              <w:pStyle w:val="ListBullet"/>
            </w:pPr>
            <w:r w:rsidRPr="009A79A1">
              <w:t>operate specific test equipment</w:t>
            </w:r>
          </w:p>
          <w:p w:rsidR="00000000" w:rsidP="009A79A1">
            <w:pPr>
              <w:pStyle w:val="ListBullet"/>
              <w:rPr>
                <w:lang w:val="en-NZ"/>
              </w:rPr>
            </w:pPr>
            <w:r w:rsidRPr="009A79A1">
              <w:t>use personal protective equipment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Required Knowledge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ListBullet"/>
            </w:pPr>
            <w:r w:rsidRPr="009A79A1">
              <w:t>Australian Standards relating to petroleum hoses</w:t>
            </w:r>
          </w:p>
          <w:p w:rsidR="00000000" w:rsidRPr="009A79A1" w:rsidP="009A79A1">
            <w:pPr>
              <w:pStyle w:val="ListBullet"/>
            </w:pPr>
            <w:r w:rsidRPr="009A79A1">
              <w:t>hydrostatic and continuity testing procedures</w:t>
            </w:r>
          </w:p>
          <w:p w:rsidR="00000000" w:rsidP="009A79A1">
            <w:pPr>
              <w:pStyle w:val="ListBullet"/>
              <w:rPr>
                <w:lang w:val="en-NZ"/>
              </w:rPr>
            </w:pPr>
            <w:r w:rsidRPr="009A79A1">
              <w:t>re</w:t>
            </w:r>
            <w:r w:rsidRPr="009A79A1">
              <w:t>levant OH&amp;S legislation and policies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</w:p>
        </w:tc>
      </w:tr>
    </w:tbl>
    <w:p w:rsidR="00000000" w:rsidRPr="009A79A1" w:rsidP="009A79A1">
      <w:pPr>
        <w:pStyle w:val="BodyText"/>
      </w:pP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10" w:name="O_122160"/>
      <w:bookmarkEnd w:id="10"/>
      <w:r w:rsidRPr="009A79A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ListBullet"/>
            </w:pPr>
            <w:r w:rsidRPr="009A79A1">
              <w:t>Nil</w:t>
            </w:r>
          </w:p>
          <w:p w:rsidR="00000000" w:rsidRPr="009A79A1" w:rsidP="009A79A1">
            <w:pPr>
              <w:pStyle w:val="BodyText"/>
            </w:pPr>
            <w:r w:rsidRPr="009A79A1">
              <w:rPr>
                <w:rStyle w:val="SpecialBold"/>
              </w:rPr>
              <w:t>Consistency in performance</w:t>
            </w:r>
          </w:p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>Competency should be demonstrated performing a number of tests on different sizes and types of petroleum hoses used within the workplace.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rPr>
                <w:rStyle w:val="SpecialBold"/>
              </w:rPr>
              <w:t>Context of assessment</w:t>
            </w:r>
          </w:p>
          <w:p w:rsidR="00000000" w:rsidRPr="009A79A1" w:rsidP="009A79A1">
            <w:pPr>
              <w:pStyle w:val="BodyText"/>
            </w:pPr>
            <w:r w:rsidRPr="009A79A1">
              <w:t>Competency should be assessed in the workpl</w:t>
            </w:r>
            <w:r w:rsidRPr="009A79A1">
              <w:t>ace or a simulated environment.</w:t>
            </w:r>
          </w:p>
          <w:p w:rsidR="00000000" w:rsidRPr="009A79A1" w:rsidP="009A79A1">
            <w:pPr>
              <w:pStyle w:val="BodyText"/>
            </w:pPr>
            <w:r w:rsidRPr="009A79A1">
              <w:rPr>
                <w:rStyle w:val="SpecialBold"/>
              </w:rPr>
              <w:t>Specific resources for assessment</w:t>
            </w:r>
          </w:p>
          <w:p w:rsidR="00000000" w:rsidRPr="009A79A1" w:rsidP="009A79A1">
            <w:pPr>
              <w:pStyle w:val="BodyText"/>
            </w:pPr>
            <w:r w:rsidRPr="009A79A1">
              <w:t>Access is required to:</w:t>
            </w:r>
          </w:p>
          <w:p w:rsidR="00000000" w:rsidRPr="009A79A1" w:rsidP="009A79A1">
            <w:pPr>
              <w:pStyle w:val="ListBullet"/>
            </w:pPr>
            <w:r w:rsidRPr="009A79A1">
              <w:t>workplace specific fuel hoses</w:t>
            </w:r>
          </w:p>
          <w:p w:rsidR="00000000" w:rsidRPr="009A79A1" w:rsidP="009A79A1">
            <w:pPr>
              <w:pStyle w:val="ListBullet"/>
            </w:pPr>
            <w:r w:rsidRPr="009A79A1">
              <w:t>specific test equipment</w:t>
            </w:r>
          </w:p>
          <w:p w:rsidR="00000000" w:rsidRPr="009A79A1" w:rsidP="009A79A1">
            <w:pPr>
              <w:pStyle w:val="ListBullet"/>
            </w:pPr>
            <w:r w:rsidRPr="009A79A1">
              <w:t>personal protective equipment</w:t>
            </w:r>
          </w:p>
          <w:p w:rsidR="00000000" w:rsidRPr="009A79A1" w:rsidP="009A79A1">
            <w:pPr>
              <w:pStyle w:val="ListBullet"/>
            </w:pPr>
            <w:r w:rsidRPr="009A79A1">
              <w:t>Australian Standards and workplace operating procedures and publications.</w:t>
            </w:r>
          </w:p>
        </w:tc>
      </w:tr>
    </w:tbl>
    <w:p w:rsidR="00000000" w:rsidRPr="009A79A1" w:rsidP="009A79A1">
      <w:pPr>
        <w:pStyle w:val="BodyText"/>
      </w:pP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11" w:name="O_122161"/>
      <w:bookmarkEnd w:id="11"/>
      <w:r w:rsidRPr="009A79A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RANGE STATEMENT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 xml:space="preserve">The Range Statement relates to the Unit of Competency as a whole. It allows for different work environments and situations that may affect performance. </w:t>
            </w:r>
            <w:r w:rsidRPr="009A79A1">
              <w:rPr>
                <w:rStyle w:val="BoldandItalics"/>
              </w:rPr>
              <w:t>Bold italicised</w:t>
            </w:r>
            <w:r w:rsidRPr="009A79A1">
              <w:t xml:space="preserve"> wording in the Performance Criteria is detailed below.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Australian Standards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>Australian Standard 2683-2000: Hose and hose assemblies for distribution of petroleum and petroleum products (excepting LPG)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Industry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ListBullet"/>
              <w:rPr>
                <w:lang w:val="en-NZ"/>
              </w:rPr>
            </w:pPr>
            <w:r w:rsidRPr="009A79A1">
              <w:t>Def</w:t>
            </w:r>
            <w:r w:rsidRPr="009A79A1">
              <w:t xml:space="preserve"> (AUST) 5695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t>Bunding</w:t>
            </w:r>
          </w:p>
          <w:p w:rsidR="00000000" w:rsidRPr="009A79A1" w:rsidP="009A79A1">
            <w:pPr>
              <w:pStyle w:val="BodyText"/>
            </w:pPr>
            <w:r w:rsidRPr="009A79A1">
              <w:t>Location of testing</w:t>
            </w:r>
          </w:p>
          <w:p w:rsidR="00000000" w:rsidRPr="009A79A1" w:rsidP="009A79A1">
            <w:pPr>
              <w:pStyle w:val="BodyText"/>
            </w:pPr>
            <w:r w:rsidRPr="009A79A1">
              <w:t>Personal protective equipment</w:t>
            </w:r>
          </w:p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>Pressure in accordance with Australian Standards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Test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t>Multimeter</w:t>
            </w:r>
          </w:p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t>Hydraulic pressure tester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ListBullet"/>
            </w:pPr>
            <w:r w:rsidRPr="009A79A1">
              <w:t xml:space="preserve">Eye protection </w:t>
            </w:r>
          </w:p>
          <w:p w:rsidR="00000000" w:rsidRPr="009A79A1" w:rsidP="009A79A1">
            <w:pPr>
              <w:pStyle w:val="ListBullet"/>
            </w:pPr>
            <w:r w:rsidRPr="009A79A1">
              <w:t>Gloves</w:t>
            </w:r>
          </w:p>
          <w:p w:rsidR="00000000" w:rsidP="009A79A1">
            <w:pPr>
              <w:pStyle w:val="ListBullet"/>
              <w:rPr>
                <w:lang w:val="en-NZ"/>
              </w:rPr>
            </w:pPr>
            <w:r w:rsidRPr="009A79A1">
              <w:t>Safety footwear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Workplace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t>Duty statements</w:t>
            </w:r>
          </w:p>
          <w:p w:rsidR="00000000" w:rsidRPr="009A79A1" w:rsidP="009A79A1">
            <w:pPr>
              <w:pStyle w:val="BodyText"/>
            </w:pPr>
            <w:r w:rsidRPr="009A79A1">
              <w:t>Legislative requirements</w:t>
            </w:r>
          </w:p>
          <w:p w:rsidR="00000000" w:rsidRPr="009A79A1" w:rsidP="009A79A1">
            <w:pPr>
              <w:pStyle w:val="BodyText"/>
            </w:pPr>
            <w:r w:rsidRPr="009A79A1">
              <w:t>Manufacturers' handbooks, industry specifications and technical instructions</w:t>
            </w:r>
          </w:p>
          <w:p w:rsidR="00000000" w:rsidRPr="009A79A1" w:rsidP="009A79A1">
            <w:pPr>
              <w:pStyle w:val="BodyText"/>
            </w:pPr>
            <w:r w:rsidRPr="009A79A1">
              <w:t xml:space="preserve">Organisational policies and procedures </w:t>
            </w:r>
          </w:p>
          <w:p w:rsidR="00000000" w:rsidRPr="009A79A1" w:rsidP="009A79A1">
            <w:pPr>
              <w:pStyle w:val="BodyText"/>
            </w:pPr>
            <w:r w:rsidRPr="009A79A1">
              <w:t>Procedure manuals</w:t>
            </w:r>
          </w:p>
          <w:p w:rsidR="00000000" w:rsidRPr="009A79A1" w:rsidP="009A79A1">
            <w:pPr>
              <w:pStyle w:val="BodyText"/>
            </w:pPr>
            <w:r w:rsidRPr="009A79A1">
              <w:t>Relevant state/territory and organisational OH&amp;S regulations</w:t>
            </w:r>
          </w:p>
          <w:p w:rsidR="00000000" w:rsidRPr="009A79A1" w:rsidP="009A79A1">
            <w:pPr>
              <w:pStyle w:val="BodyText"/>
            </w:pPr>
            <w:r w:rsidRPr="009A79A1">
              <w:t xml:space="preserve">Standard Operating Procedures </w:t>
            </w:r>
          </w:p>
          <w:p w:rsidR="00000000" w:rsidRPr="009A79A1" w:rsidP="009A79A1">
            <w:pPr>
              <w:pStyle w:val="BodyText"/>
            </w:pPr>
            <w:r w:rsidRPr="009A79A1">
              <w:t>Technical manuals</w:t>
            </w:r>
          </w:p>
          <w:p w:rsidR="00000000" w:rsidP="009A79A1">
            <w:pPr>
              <w:pStyle w:val="ListBullet"/>
              <w:rPr>
                <w:lang w:val="en-NZ"/>
              </w:rPr>
            </w:pPr>
            <w:r w:rsidRPr="009A79A1">
              <w:t>Written or verbal instructions</w:t>
            </w:r>
          </w:p>
        </w:tc>
      </w:tr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</w:p>
        </w:tc>
      </w:tr>
    </w:tbl>
    <w:p w:rsidR="00000000" w:rsidRPr="009A79A1" w:rsidP="009A79A1">
      <w:pPr>
        <w:pStyle w:val="BodyText"/>
      </w:pP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12" w:name="O_122162"/>
      <w:bookmarkEnd w:id="12"/>
      <w:r w:rsidRPr="009A79A1">
        <w:t>Unit Sector(s)</w:t>
      </w:r>
    </w:p>
    <w:p w:rsidR="00000000" w:rsidRPr="009A79A1" w:rsidP="009A79A1">
      <w:pPr>
        <w:pStyle w:val="BodyText"/>
      </w:pPr>
      <w:r w:rsidRPr="009A79A1">
        <w:t>Not applicable.</w:t>
      </w:r>
    </w:p>
    <w:p w:rsidR="00000000" w:rsidRPr="009A79A1" w:rsidP="009A79A1">
      <w:pPr>
        <w:pStyle w:val="AllowPageBreak"/>
      </w:pPr>
    </w:p>
    <w:p w:rsidR="00000000" w:rsidRPr="009A79A1" w:rsidP="009A79A1">
      <w:pPr>
        <w:pStyle w:val="Heading1"/>
      </w:pPr>
      <w:bookmarkStart w:id="13" w:name="O_174935"/>
      <w:bookmarkEnd w:id="13"/>
      <w:r w:rsidRPr="009A79A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A1">
            <w:pPr>
              <w:pStyle w:val="BodyText"/>
              <w:rPr>
                <w:lang w:val="en-NZ"/>
              </w:rPr>
            </w:pPr>
            <w:r w:rsidRPr="009A79A1">
              <w:rPr>
                <w:rStyle w:val="SpecialBold"/>
              </w:rPr>
              <w:t>Co-requisite Unit</w:t>
            </w:r>
            <w:r w:rsidRPr="009A79A1">
              <w:t>/</w:t>
            </w:r>
            <w:r w:rsidRPr="009A79A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A1" w:rsidP="009A79A1">
            <w:pPr>
              <w:pStyle w:val="BodyText"/>
            </w:pPr>
            <w:r w:rsidRPr="009A79A1">
              <w:t>Nil</w:t>
            </w:r>
          </w:p>
        </w:tc>
      </w:tr>
    </w:tbl>
    <w:p w:rsidR="00000000" w:rsidRPr="009A79A1" w:rsidP="009A79A1">
      <w:pPr>
        <w:pStyle w:val="BodyText"/>
      </w:pPr>
    </w:p>
    <w:p w:rsidR="00000000" w:rsidRPr="009A79A1" w:rsidP="009A79A1"/>
    <w:sectPr w:rsidSect="009A79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4A49" w:rsidP="00B84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49" w:rsidP="009A7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84A49" w:rsidP="009A7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84A49" w:rsidP="009A79A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4A49" w:rsidP="00B84A4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A49" w:rsidP="009A7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PUADEFPE003A Test fuel 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84A49" w:rsidP="009A79A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282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66B7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A7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9A1"/>
  </w:style>
  <w:style w:type="character" w:customStyle="1" w:styleId="Heading1Char">
    <w:name w:val="Heading 1 Char"/>
    <w:basedOn w:val="DefaultParagraphFont"/>
    <w:link w:val="Heading1"/>
    <w:rsid w:val="009A7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9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9A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A7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9A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A79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9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9A1"/>
    <w:rPr>
      <w:b/>
      <w:spacing w:val="0"/>
    </w:rPr>
  </w:style>
  <w:style w:type="paragraph" w:styleId="Header">
    <w:name w:val="header"/>
    <w:basedOn w:val="Normal"/>
    <w:link w:val="HeaderChar"/>
    <w:rsid w:val="009A7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A79A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7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A79A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A79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A7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9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A79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A79A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A7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7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9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7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9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9A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A7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9A1"/>
    <w:rPr>
      <w:i/>
    </w:rPr>
  </w:style>
  <w:style w:type="paragraph" w:styleId="Caption">
    <w:name w:val="caption"/>
    <w:basedOn w:val="BodyText"/>
    <w:next w:val="Normal"/>
    <w:qFormat/>
    <w:rsid w:val="009A7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9A1"/>
  </w:style>
  <w:style w:type="paragraph" w:styleId="TableofFigures">
    <w:name w:val="table of figures"/>
    <w:basedOn w:val="Normal"/>
    <w:next w:val="Normal"/>
    <w:semiHidden/>
    <w:rsid w:val="009A7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9A1"/>
    <w:pPr>
      <w:numPr>
        <w:numId w:val="10"/>
      </w:numPr>
    </w:pPr>
  </w:style>
  <w:style w:type="character" w:customStyle="1" w:styleId="WingdingSymbols">
    <w:name w:val="Wingding Symbols"/>
    <w:rsid w:val="009A79A1"/>
    <w:rPr>
      <w:rFonts w:ascii="Wingdings" w:hAnsi="Wingdings"/>
    </w:rPr>
  </w:style>
  <w:style w:type="paragraph" w:customStyle="1" w:styleId="TableHeading">
    <w:name w:val="Table Heading"/>
    <w:basedOn w:val="HeadingBase"/>
    <w:rsid w:val="009A7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9A1"/>
    <w:rPr>
      <w:color w:val="0033CC"/>
      <w:u w:val="none"/>
    </w:rPr>
  </w:style>
  <w:style w:type="paragraph" w:customStyle="1" w:styleId="BodyTextRight">
    <w:name w:val="Body Text Right"/>
    <w:basedOn w:val="BodyText"/>
    <w:rsid w:val="009A7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9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9A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A79A1"/>
    <w:rPr>
      <w:sz w:val="32"/>
    </w:rPr>
  </w:style>
  <w:style w:type="paragraph" w:customStyle="1" w:styleId="HeadingProcedure">
    <w:name w:val="Heading Procedure"/>
    <w:basedOn w:val="HeadingBase"/>
    <w:next w:val="Normal"/>
    <w:rsid w:val="009A7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9A1"/>
    <w:pPr>
      <w:spacing w:before="60" w:after="60"/>
    </w:pPr>
  </w:style>
  <w:style w:type="paragraph" w:styleId="ListContinue">
    <w:name w:val="List Continue"/>
    <w:basedOn w:val="List"/>
    <w:rsid w:val="009A79A1"/>
    <w:pPr>
      <w:ind w:firstLine="0"/>
    </w:pPr>
  </w:style>
  <w:style w:type="paragraph" w:customStyle="1" w:styleId="ListNote">
    <w:name w:val="List Note"/>
    <w:basedOn w:val="List"/>
    <w:rsid w:val="009A7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9A1"/>
    <w:rPr>
      <w:rFonts w:ascii="Courier New" w:hAnsi="Courier New"/>
    </w:rPr>
  </w:style>
  <w:style w:type="paragraph" w:customStyle="1" w:styleId="NoteBullet">
    <w:name w:val="Note Bullet"/>
    <w:basedOn w:val="Note"/>
    <w:rsid w:val="009A7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9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9A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A79A1"/>
    <w:rPr>
      <w:b/>
      <w:smallCaps/>
    </w:rPr>
  </w:style>
  <w:style w:type="paragraph" w:customStyle="1" w:styleId="TableListNumber">
    <w:name w:val="Table List Number"/>
    <w:basedOn w:val="ListNumber"/>
    <w:rsid w:val="009A7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9A1"/>
    <w:pPr>
      <w:numPr>
        <w:numId w:val="8"/>
      </w:numPr>
    </w:pPr>
  </w:style>
  <w:style w:type="paragraph" w:customStyle="1" w:styleId="ListAlpha2">
    <w:name w:val="List Alpha 2"/>
    <w:basedOn w:val="List2"/>
    <w:rsid w:val="009A79A1"/>
    <w:pPr>
      <w:numPr>
        <w:numId w:val="7"/>
      </w:numPr>
    </w:pPr>
  </w:style>
  <w:style w:type="paragraph" w:styleId="List3">
    <w:name w:val="List 3"/>
    <w:basedOn w:val="BodyText"/>
    <w:rsid w:val="009A7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9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9A1"/>
    <w:pPr>
      <w:numPr>
        <w:numId w:val="2"/>
      </w:numPr>
    </w:pPr>
  </w:style>
  <w:style w:type="paragraph" w:styleId="ListBullet5">
    <w:name w:val="List Bullet 5"/>
    <w:basedOn w:val="List5"/>
    <w:rsid w:val="009A79A1"/>
    <w:pPr>
      <w:numPr>
        <w:numId w:val="3"/>
      </w:numPr>
    </w:pPr>
  </w:style>
  <w:style w:type="paragraph" w:styleId="ListContinue2">
    <w:name w:val="List Continue 2"/>
    <w:basedOn w:val="List2"/>
    <w:rsid w:val="009A79A1"/>
    <w:pPr>
      <w:ind w:firstLine="0"/>
    </w:pPr>
  </w:style>
  <w:style w:type="paragraph" w:styleId="ListContinue3">
    <w:name w:val="List Continue 3"/>
    <w:basedOn w:val="List3"/>
    <w:rsid w:val="009A79A1"/>
    <w:pPr>
      <w:ind w:left="1021" w:firstLine="0"/>
    </w:pPr>
  </w:style>
  <w:style w:type="paragraph" w:styleId="ListContinue4">
    <w:name w:val="List Continue 4"/>
    <w:basedOn w:val="List4"/>
    <w:rsid w:val="009A79A1"/>
    <w:pPr>
      <w:ind w:firstLine="0"/>
    </w:pPr>
  </w:style>
  <w:style w:type="paragraph" w:styleId="ListContinue5">
    <w:name w:val="List Continue 5"/>
    <w:basedOn w:val="List5"/>
    <w:rsid w:val="009A79A1"/>
    <w:pPr>
      <w:ind w:firstLine="0"/>
    </w:pPr>
  </w:style>
  <w:style w:type="paragraph" w:styleId="ListNumber3">
    <w:name w:val="List Number 3"/>
    <w:basedOn w:val="List3"/>
    <w:rsid w:val="009A79A1"/>
    <w:pPr>
      <w:numPr>
        <w:numId w:val="4"/>
      </w:numPr>
    </w:pPr>
  </w:style>
  <w:style w:type="paragraph" w:styleId="ListNumber4">
    <w:name w:val="List Number 4"/>
    <w:basedOn w:val="List4"/>
    <w:rsid w:val="009A79A1"/>
    <w:pPr>
      <w:numPr>
        <w:numId w:val="5"/>
      </w:numPr>
    </w:pPr>
  </w:style>
  <w:style w:type="paragraph" w:styleId="ListNumber5">
    <w:name w:val="List Number 5"/>
    <w:basedOn w:val="List5"/>
    <w:rsid w:val="009A79A1"/>
    <w:pPr>
      <w:numPr>
        <w:numId w:val="6"/>
      </w:numPr>
    </w:pPr>
  </w:style>
  <w:style w:type="paragraph" w:styleId="BlockText">
    <w:name w:val="Block Text"/>
    <w:basedOn w:val="Normal"/>
    <w:rsid w:val="009A7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9A1"/>
    <w:rPr>
      <w:sz w:val="16"/>
      <w:vertAlign w:val="superscript"/>
    </w:rPr>
  </w:style>
  <w:style w:type="character" w:customStyle="1" w:styleId="Symbols">
    <w:name w:val="Symbols"/>
    <w:basedOn w:val="DefaultParagraphFont"/>
    <w:rsid w:val="009A79A1"/>
    <w:rPr>
      <w:rFonts w:ascii="Symbol" w:hAnsi="Symbol"/>
    </w:rPr>
  </w:style>
  <w:style w:type="character" w:customStyle="1" w:styleId="MenuOptions">
    <w:name w:val="Menu Options"/>
    <w:basedOn w:val="DefaultParagraphFont"/>
    <w:rsid w:val="009A7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9A1"/>
    <w:rPr>
      <w:b/>
    </w:rPr>
  </w:style>
  <w:style w:type="character" w:customStyle="1" w:styleId="Underlined">
    <w:name w:val="Underlined"/>
    <w:basedOn w:val="DefaultParagraphFont"/>
    <w:rsid w:val="009A79A1"/>
    <w:rPr>
      <w:u w:val="single"/>
    </w:rPr>
  </w:style>
  <w:style w:type="paragraph" w:customStyle="1" w:styleId="TableBodyTextRight">
    <w:name w:val="Table Body Text Right"/>
    <w:basedOn w:val="TableBodyText"/>
    <w:rsid w:val="009A7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9A1"/>
    <w:rPr>
      <w:sz w:val="18"/>
    </w:rPr>
  </w:style>
  <w:style w:type="paragraph" w:customStyle="1" w:styleId="BodySmallRight">
    <w:name w:val="Body Small Right"/>
    <w:basedOn w:val="BodyTextRight"/>
    <w:rsid w:val="009A79A1"/>
    <w:rPr>
      <w:sz w:val="18"/>
      <w:szCs w:val="18"/>
    </w:rPr>
  </w:style>
  <w:style w:type="paragraph" w:customStyle="1" w:styleId="MarginEdition">
    <w:name w:val="Margin Edition"/>
    <w:basedOn w:val="MarginNote"/>
    <w:rsid w:val="009A7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9A1"/>
    <w:rPr>
      <w:sz w:val="2"/>
      <w:szCs w:val="2"/>
    </w:rPr>
  </w:style>
  <w:style w:type="character" w:customStyle="1" w:styleId="Small">
    <w:name w:val="Small"/>
    <w:basedOn w:val="DefaultParagraphFont"/>
    <w:rsid w:val="009A79A1"/>
    <w:rPr>
      <w:sz w:val="16"/>
    </w:rPr>
  </w:style>
  <w:style w:type="paragraph" w:customStyle="1" w:styleId="WideTable">
    <w:name w:val="Wide Table"/>
    <w:basedOn w:val="Normal"/>
    <w:rsid w:val="009A7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9A1"/>
  </w:style>
  <w:style w:type="paragraph" w:styleId="Quote">
    <w:name w:val="Quote"/>
    <w:basedOn w:val="Heading1"/>
    <w:link w:val="QuoteChar"/>
    <w:qFormat/>
    <w:rsid w:val="009A7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9A1"/>
    <w:pPr>
      <w:pageBreakBefore/>
    </w:pPr>
  </w:style>
  <w:style w:type="paragraph" w:customStyle="1" w:styleId="Border">
    <w:name w:val="Border"/>
    <w:basedOn w:val="Normal"/>
    <w:qFormat/>
    <w:rsid w:val="009A7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9A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A7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9A1"/>
    <w:rPr>
      <w:u w:val="single"/>
    </w:rPr>
  </w:style>
  <w:style w:type="paragraph" w:styleId="BalloonText">
    <w:name w:val="Balloon Text"/>
    <w:basedOn w:val="Normal"/>
    <w:link w:val="BalloonTextChar"/>
    <w:rsid w:val="009A7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9A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A79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9A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628</Words>
  <Characters>4107</Characters>
  <Application>Microsoft Office Word</Application>
  <DocSecurity>0</DocSecurity>
  <Lines>188</Lines>
  <Paragraphs>102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PUADEFPE003A Test fuel hoses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2012-05-26T04:25:00Z</dcterms:created>
  <dcterms:modified xsi:type="dcterms:W3CDTF">2012-05-26T04:25:00Z</dcterms:modified>
</cp:coreProperties>
</file>