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0DD" w:rsidP="000840DD">
      <w:pPr>
        <w:pStyle w:val="Title"/>
      </w:pPr>
      <w:r>
        <w:fldChar w:fldCharType="begin"/>
      </w:r>
      <w:r>
        <w:instrText xml:space="preserve"> TITLE   \* MERGEFORMAT </w:instrText>
      </w:r>
      <w:r>
        <w:fldChar w:fldCharType="separate"/>
      </w:r>
      <w:r>
        <w:t>PUADEFEO814A Provide survey data for proof and experimental firing</w:t>
      </w:r>
      <w:r>
        <w:fldChar w:fldCharType="end"/>
      </w:r>
    </w:p>
    <w:p w:rsidR="000840DD" w:rsidP="000840DD">
      <w:pPr>
        <w:pStyle w:val="Version"/>
        <w:sectPr w:rsidSect="00ED0D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0DBA" w:rsidP="00ED0DBA">
      <w:pPr>
        <w:pStyle w:val="SuperHeading"/>
      </w:pPr>
      <w:r w:rsidRPr="00ED0DBA">
        <w:t>PUADEFEO814A Provide survey data for proof and experimental firing</w:t>
      </w:r>
    </w:p>
    <w:p w:rsidR="00000000" w:rsidRPr="00ED0DBA" w:rsidP="00ED0DBA">
      <w:pPr>
        <w:pStyle w:val="SuperHeading"/>
      </w:pPr>
    </w:p>
    <w:p w:rsidR="00000000" w:rsidRPr="00ED0DBA" w:rsidP="00ED0DBA">
      <w:pPr>
        <w:pStyle w:val="Heading1"/>
      </w:pPr>
      <w:bookmarkStart w:id="1" w:name="O_121587"/>
      <w:bookmarkEnd w:id="1"/>
      <w:r w:rsidRPr="00ED0DBA">
        <w:t>Modification History</w:t>
      </w:r>
    </w:p>
    <w:p w:rsidR="00000000" w:rsidRPr="00ED0DBA" w:rsidP="00ED0DBA">
      <w:pPr>
        <w:pStyle w:val="BodyText"/>
      </w:pPr>
      <w:r w:rsidRPr="00ED0DBA">
        <w:t>Not applicable.</w:t>
      </w:r>
    </w:p>
    <w:p w:rsidR="00000000" w:rsidRPr="00ED0DBA" w:rsidP="00ED0DBA">
      <w:pPr>
        <w:pStyle w:val="AllowPageBreak"/>
      </w:pPr>
    </w:p>
    <w:p w:rsidR="00000000" w:rsidRPr="00ED0DBA" w:rsidP="00ED0DBA">
      <w:pPr>
        <w:pStyle w:val="Heading1"/>
      </w:pPr>
      <w:bookmarkStart w:id="2" w:name="O_121588"/>
      <w:bookmarkEnd w:id="2"/>
      <w:r w:rsidRPr="00ED0DBA">
        <w:t>Unit Descriptor</w:t>
      </w:r>
    </w:p>
    <w:tbl>
      <w:tblPr>
        <w:tblW w:w="0" w:type="auto"/>
        <w:tblLayout w:type="fixed"/>
        <w:tblCellMar>
          <w:left w:w="62" w:type="dxa"/>
          <w:right w:w="62" w:type="dxa"/>
        </w:tblCellMar>
        <w:tblLook w:val="0000"/>
      </w:tblPr>
      <w:tblGrid>
        <w:gridCol w:w="3060"/>
        <w:gridCol w:w="5580"/>
      </w:tblGrid>
      <w:tr w:rsidTr="000840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D0DBA" w:rsidP="00ED0DBA">
            <w:pPr>
              <w:pStyle w:val="BodyText"/>
            </w:pPr>
            <w:r w:rsidRPr="00ED0DBA">
              <w:t>This unit covers the competency required to conduct surveys and to pro</w:t>
            </w:r>
            <w:r w:rsidRPr="00ED0DBA">
              <w:t>duce survey data in support of proof and experimental firings.</w:t>
            </w:r>
          </w:p>
          <w:p w:rsidR="00000000" w:rsidRPr="00ED0DBA" w:rsidP="00ED0DBA">
            <w:pPr>
              <w:pStyle w:val="BodyText"/>
            </w:pPr>
            <w:r w:rsidRPr="00ED0DBA">
              <w:t>This survey can be conducted by two people. One person being the observer and the other recording data. This unit of competency covers both roles.</w:t>
            </w:r>
          </w:p>
          <w:p w:rsidR="00000000" w:rsidRPr="00ED0DBA" w:rsidP="00ED0DBA">
            <w:pPr>
              <w:pStyle w:val="BodyText"/>
            </w:pPr>
            <w:r w:rsidRPr="00ED0DBA">
              <w:t xml:space="preserve">This unit does not cover the planning for the </w:t>
            </w:r>
            <w:r w:rsidRPr="00ED0DBA">
              <w:t>conduct of the survey. Normally survey requirements would be a component of the testing plan. If planning is required, it is covered in PUADEFEO602C Plan explosive ordnance trials.</w:t>
            </w:r>
          </w:p>
        </w:tc>
      </w:tr>
    </w:tbl>
    <w:p w:rsidR="00000000" w:rsidRPr="00ED0DBA" w:rsidP="00ED0DBA">
      <w:pPr>
        <w:pStyle w:val="BodyText"/>
      </w:pPr>
    </w:p>
    <w:p w:rsidR="00000000" w:rsidRPr="00ED0DBA" w:rsidP="00ED0DBA">
      <w:pPr>
        <w:pStyle w:val="AllowPageBreak"/>
      </w:pPr>
    </w:p>
    <w:p w:rsidR="00000000" w:rsidRPr="00ED0DBA" w:rsidP="00ED0DBA">
      <w:pPr>
        <w:pStyle w:val="Heading1"/>
      </w:pPr>
      <w:bookmarkStart w:id="3" w:name="O_121589"/>
      <w:bookmarkEnd w:id="3"/>
      <w:r w:rsidRPr="00ED0DBA">
        <w:t>Application of the Unit</w:t>
      </w:r>
    </w:p>
    <w:tbl>
      <w:tblPr>
        <w:tblW w:w="0" w:type="auto"/>
        <w:tblLayout w:type="fixed"/>
        <w:tblCellMar>
          <w:left w:w="62" w:type="dxa"/>
          <w:right w:w="62" w:type="dxa"/>
        </w:tblCellMar>
        <w:tblLook w:val="0000"/>
      </w:tblPr>
      <w:tblGrid>
        <w:gridCol w:w="3060"/>
        <w:gridCol w:w="5580"/>
      </w:tblGrid>
      <w:tr w:rsidTr="000840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D0DBA" w:rsidP="00ED0DBA">
            <w:pPr>
              <w:pStyle w:val="BodyText"/>
            </w:pPr>
            <w:r w:rsidRPr="00ED0DBA">
              <w:t>This unit applies in a physical science or engineering environment where product undergoes testing to establish that it meets established standards and/or specifications. The production of survey data is crucial in the setting up and validation of a number</w:t>
            </w:r>
            <w:r w:rsidRPr="00ED0DBA">
              <w:t xml:space="preserve"> of these proof tests.</w:t>
            </w:r>
          </w:p>
          <w:p w:rsidR="00000000" w:rsidRPr="00ED0DBA" w:rsidP="00ED0DBA">
            <w:pPr>
              <w:pStyle w:val="BodyText"/>
            </w:pPr>
            <w:r w:rsidRPr="00ED0DBA">
              <w:t>This unit was developed for survey specialists working within proof and experimental organisations in Defence but is applicable to any individual in this field of work.</w:t>
            </w:r>
          </w:p>
          <w:p w:rsidR="00000000" w:rsidP="00ED0DBA">
            <w:pPr>
              <w:pStyle w:val="BodyText"/>
              <w:rPr>
                <w:lang w:val="en-NZ"/>
              </w:rPr>
            </w:pPr>
            <w:r w:rsidRPr="00ED0DBA">
              <w:t>Typically these individuals must demonstrate the ability to work</w:t>
            </w:r>
            <w:r w:rsidRPr="00ED0DBA">
              <w:t xml:space="preserve"> as individuals and as part of a team under direct and/or indirect supervision, use discretion and judgement, and take responsibility for the quality of their output. All activities are carried out in accordance with relevant organisational policies and pr</w:t>
            </w:r>
            <w:r w:rsidRPr="00ED0DBA">
              <w:t>ocedures.</w:t>
            </w:r>
          </w:p>
        </w:tc>
      </w:tr>
      <w:tr w:rsidTr="000840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D0DBA" w:rsidP="00ED0DBA">
            <w:pPr>
              <w:pStyle w:val="BodyText"/>
            </w:pPr>
          </w:p>
        </w:tc>
      </w:tr>
    </w:tbl>
    <w:p w:rsidR="00000000" w:rsidRPr="00ED0DBA" w:rsidP="00ED0DBA">
      <w:pPr>
        <w:pStyle w:val="BodyText"/>
      </w:pPr>
    </w:p>
    <w:p w:rsidR="00000000" w:rsidRPr="00ED0DBA" w:rsidP="00ED0DBA">
      <w:pPr>
        <w:pStyle w:val="AllowPageBreak"/>
      </w:pPr>
    </w:p>
    <w:p w:rsidR="00000000" w:rsidRPr="00ED0DBA" w:rsidP="00ED0DBA">
      <w:pPr>
        <w:pStyle w:val="Heading1"/>
      </w:pPr>
      <w:bookmarkStart w:id="4" w:name="O_121590"/>
      <w:bookmarkEnd w:id="4"/>
      <w:r w:rsidRPr="00ED0DBA">
        <w:t>Licensing/Regulatory Information</w:t>
      </w:r>
    </w:p>
    <w:p w:rsidR="00000000" w:rsidRPr="00ED0DBA" w:rsidP="00ED0DBA">
      <w:pPr>
        <w:pStyle w:val="BodyText"/>
      </w:pPr>
      <w:r w:rsidRPr="00ED0DBA">
        <w:t>Not applicable.</w:t>
      </w:r>
    </w:p>
    <w:p w:rsidR="00000000" w:rsidRPr="00ED0DBA" w:rsidP="00ED0DBA">
      <w:pPr>
        <w:pStyle w:val="AllowPageBreak"/>
      </w:pPr>
    </w:p>
    <w:p w:rsidR="00000000" w:rsidRPr="00ED0DBA" w:rsidP="00ED0DBA">
      <w:pPr>
        <w:pStyle w:val="Heading1"/>
      </w:pPr>
      <w:bookmarkStart w:id="5" w:name="O_121592"/>
      <w:bookmarkEnd w:id="5"/>
      <w:r w:rsidRPr="00ED0DBA">
        <w:t>Pre-Requisites</w:t>
      </w:r>
    </w:p>
    <w:p w:rsidR="00000000" w:rsidRPr="00ED0DBA" w:rsidP="00ED0DBA">
      <w:pPr>
        <w:pStyle w:val="BodyText"/>
      </w:pPr>
      <w:r w:rsidRPr="00ED0DBA">
        <w:t>Not applicable.</w:t>
      </w:r>
    </w:p>
    <w:p w:rsidR="00000000" w:rsidRPr="00ED0DBA" w:rsidP="00ED0DBA">
      <w:pPr>
        <w:pStyle w:val="AllowPageBreak"/>
      </w:pPr>
    </w:p>
    <w:p w:rsidR="00000000" w:rsidRPr="00ED0DBA" w:rsidP="00ED0DBA">
      <w:pPr>
        <w:pStyle w:val="Heading1"/>
      </w:pPr>
      <w:bookmarkStart w:id="6" w:name="O_121591"/>
      <w:bookmarkEnd w:id="6"/>
      <w:r w:rsidRPr="00ED0DBA">
        <w:t>Employability Skills Information</w:t>
      </w:r>
    </w:p>
    <w:tbl>
      <w:tblPr>
        <w:tblW w:w="0" w:type="auto"/>
        <w:tblLayout w:type="fixed"/>
        <w:tblCellMar>
          <w:left w:w="62" w:type="dxa"/>
          <w:right w:w="62" w:type="dxa"/>
        </w:tblCellMar>
        <w:tblLook w:val="0000"/>
      </w:tblPr>
      <w:tblGrid>
        <w:gridCol w:w="3060"/>
        <w:gridCol w:w="5580"/>
      </w:tblGrid>
      <w:tr w:rsidTr="000840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t>This unit contains employability skills.</w:t>
            </w:r>
          </w:p>
        </w:tc>
      </w:tr>
      <w:tr w:rsidTr="000840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rPr>
                <w:rStyle w:val="SpecialBold"/>
              </w:rPr>
              <w:t>Pre-requisite Unit</w:t>
            </w:r>
            <w:r w:rsidRPr="00ED0DBA">
              <w:t>/</w:t>
            </w:r>
            <w:r w:rsidRPr="00ED0DB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D0DBA" w:rsidP="00ED0DBA">
            <w:pPr>
              <w:pStyle w:val="BodyText"/>
            </w:pPr>
            <w:r w:rsidRPr="00ED0DBA">
              <w:t>Nil</w:t>
            </w:r>
          </w:p>
        </w:tc>
      </w:tr>
    </w:tbl>
    <w:p w:rsidR="00000000" w:rsidRPr="00ED0DBA" w:rsidP="00ED0DBA">
      <w:pPr>
        <w:pStyle w:val="BodyText"/>
      </w:pPr>
    </w:p>
    <w:p w:rsidR="00000000" w:rsidRPr="00ED0DBA" w:rsidP="00ED0DBA">
      <w:pPr>
        <w:pStyle w:val="AllowPageBreak"/>
      </w:pPr>
    </w:p>
    <w:p w:rsidR="00000000" w:rsidRPr="00ED0DBA" w:rsidP="00ED0DBA">
      <w:pPr>
        <w:pStyle w:val="Heading1"/>
      </w:pPr>
      <w:bookmarkStart w:id="7" w:name="O_121593"/>
      <w:bookmarkEnd w:id="7"/>
      <w:r w:rsidRPr="00ED0DBA">
        <w:t>Elements and Performance Criteria Pre-Content</w:t>
      </w:r>
    </w:p>
    <w:tbl>
      <w:tblPr>
        <w:tblW w:w="0" w:type="auto"/>
        <w:tblLayout w:type="fixed"/>
        <w:tblCellMar>
          <w:left w:w="62" w:type="dxa"/>
          <w:right w:w="62" w:type="dxa"/>
        </w:tblCellMar>
        <w:tblLook w:val="0000"/>
      </w:tblPr>
      <w:tblGrid>
        <w:gridCol w:w="3060"/>
        <w:gridCol w:w="5580"/>
      </w:tblGrid>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Performance Criteria describe the required performance needed to demonstrate achievement of the elem</w:t>
            </w:r>
            <w:r w:rsidRPr="00ED0DBA">
              <w:t>ent. Where bold italicised text is used, further information is detailed in the Required Skills and Knowledge and/or the Range Statement. Assessment of performance is to be consistent with the Evidence Guide.</w:t>
            </w:r>
          </w:p>
        </w:tc>
      </w:tr>
    </w:tbl>
    <w:p w:rsidR="00000000" w:rsidRPr="00ED0DBA" w:rsidP="00ED0DBA">
      <w:pPr>
        <w:pStyle w:val="BodyText"/>
      </w:pPr>
    </w:p>
    <w:p w:rsidR="00000000" w:rsidRPr="00ED0DBA" w:rsidP="00ED0DBA">
      <w:pPr>
        <w:pStyle w:val="AllowPageBreak"/>
      </w:pPr>
    </w:p>
    <w:p w:rsidR="00000000" w:rsidRPr="00ED0DBA" w:rsidP="00ED0DBA">
      <w:pPr>
        <w:pStyle w:val="Heading1"/>
      </w:pPr>
      <w:bookmarkStart w:id="8" w:name="O_121594"/>
      <w:bookmarkEnd w:id="8"/>
      <w:r w:rsidRPr="00ED0DBA">
        <w:t>Elements and Performance Criteria</w:t>
      </w:r>
    </w:p>
    <w:tbl>
      <w:tblPr>
        <w:tblW w:w="0" w:type="auto"/>
        <w:tblLayout w:type="fixed"/>
        <w:tblCellMar>
          <w:left w:w="62" w:type="dxa"/>
          <w:right w:w="62" w:type="dxa"/>
        </w:tblCellMar>
        <w:tblLook w:val="0000"/>
      </w:tblPr>
      <w:tblGrid>
        <w:gridCol w:w="3060"/>
        <w:gridCol w:w="5580"/>
      </w:tblGrid>
      <w:tr w:rsidTr="000840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D0DBA" w:rsidP="00ED0DBA">
            <w:pPr>
              <w:pStyle w:val="BodyText"/>
            </w:pPr>
            <w:r w:rsidRPr="00ED0DB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rPr>
                <w:rStyle w:val="SpecialBold"/>
              </w:rPr>
              <w:t>PERFORMANCE CRITERIA</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List"/>
              <w:rPr>
                <w:lang w:val="en-NZ"/>
              </w:rPr>
            </w:pPr>
            <w:r w:rsidRPr="00ED0DBA">
              <w:t>1.</w:t>
            </w:r>
            <w:r w:rsidRPr="00ED0DBA">
              <w:tab/>
            </w:r>
            <w:r w:rsidRPr="00ED0DBA">
              <w:rPr>
                <w:rStyle w:val="SpecialBold"/>
              </w:rPr>
              <w:t>Prepare for survey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List2"/>
            </w:pPr>
            <w:r w:rsidRPr="00ED0DBA">
              <w:t>1.1</w:t>
            </w:r>
            <w:r w:rsidRPr="00ED0DBA">
              <w:tab/>
            </w:r>
            <w:r w:rsidRPr="00ED0DBA">
              <w:rPr>
                <w:rStyle w:val="BoldandItalics"/>
              </w:rPr>
              <w:t>Stakeholders</w:t>
            </w:r>
            <w:r w:rsidRPr="00ED0DBA">
              <w:t xml:space="preserve"> and test participants are briefed in accordance with </w:t>
            </w:r>
            <w:r w:rsidRPr="00ED0DBA">
              <w:rPr>
                <w:rStyle w:val="BoldandItalics"/>
              </w:rPr>
              <w:t>organisational policies and procedures</w:t>
            </w:r>
            <w:r w:rsidRPr="00ED0DBA">
              <w:t xml:space="preserve">, and </w:t>
            </w:r>
            <w:r w:rsidRPr="00ED0DBA">
              <w:rPr>
                <w:rStyle w:val="BoldandItalics"/>
              </w:rPr>
              <w:t>test plan</w:t>
            </w:r>
          </w:p>
          <w:p w:rsidR="00000000" w:rsidRPr="00ED0DBA" w:rsidP="00ED0DBA">
            <w:pPr>
              <w:pStyle w:val="List2"/>
            </w:pPr>
            <w:r w:rsidRPr="00ED0DBA">
              <w:t>1.2</w:t>
            </w:r>
            <w:r w:rsidRPr="00ED0DBA">
              <w:tab/>
            </w:r>
            <w:r w:rsidRPr="00ED0DBA">
              <w:t>Safety systems and procedures are checked and initiated in accordance with organisational policies and procedures, and test plan</w:t>
            </w:r>
          </w:p>
          <w:p w:rsidR="00000000" w:rsidRPr="00ED0DBA" w:rsidP="00ED0DBA">
            <w:pPr>
              <w:pStyle w:val="List2"/>
            </w:pPr>
            <w:r w:rsidRPr="00ED0DBA">
              <w:t>1.3</w:t>
            </w:r>
            <w:r w:rsidRPr="00ED0DBA">
              <w:tab/>
              <w:t>Purpose and requirements of the survey are identified from written or oral instruction</w:t>
            </w:r>
          </w:p>
          <w:p w:rsidR="00000000" w:rsidRPr="00ED0DBA" w:rsidP="00ED0DBA">
            <w:pPr>
              <w:pStyle w:val="List2"/>
            </w:pPr>
            <w:r w:rsidRPr="00ED0DBA">
              <w:t>1.4</w:t>
            </w:r>
            <w:r w:rsidRPr="00ED0DBA">
              <w:tab/>
              <w:t>Survey specifications are confir</w:t>
            </w:r>
            <w:r w:rsidRPr="00ED0DBA">
              <w:t>med and clarified in accordance with organisational procedures and instructions</w:t>
            </w:r>
          </w:p>
          <w:p w:rsidR="00000000" w:rsidP="00ED0DBA">
            <w:pPr>
              <w:pStyle w:val="List2"/>
              <w:rPr>
                <w:lang w:val="en-NZ"/>
              </w:rPr>
            </w:pPr>
            <w:r w:rsidRPr="00ED0DBA">
              <w:t>1.5</w:t>
            </w:r>
            <w:r w:rsidRPr="00ED0DBA">
              <w:tab/>
              <w:t>Equipment required for the survey is selected and checked for serviceability in accordance with manufacturers' instructions</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D0DBA">
            <w:pPr>
              <w:pStyle w:val="BodyText"/>
              <w:rPr>
                <w:lang w:val="en-NZ"/>
              </w:rPr>
            </w:pP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List"/>
              <w:rPr>
                <w:lang w:val="en-NZ"/>
              </w:rPr>
            </w:pPr>
            <w:r w:rsidRPr="00ED0DBA">
              <w:t>2.</w:t>
            </w:r>
            <w:r w:rsidRPr="00ED0DBA">
              <w:tab/>
            </w:r>
            <w:r w:rsidRPr="00ED0DBA">
              <w:rPr>
                <w:rStyle w:val="SpecialBold"/>
              </w:rPr>
              <w:t>Conduct survey tasks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List2"/>
            </w:pPr>
            <w:r w:rsidRPr="00ED0DBA">
              <w:t>2.1</w:t>
            </w:r>
            <w:r w:rsidRPr="00ED0DBA">
              <w:tab/>
            </w:r>
            <w:r w:rsidRPr="00ED0DBA">
              <w:rPr>
                <w:rStyle w:val="BoldandItalics"/>
              </w:rPr>
              <w:t>Survey equipment</w:t>
            </w:r>
            <w:r w:rsidRPr="00ED0DBA">
              <w:t xml:space="preserve"> is operated to determine orientation, fixation and other requirements as determined by the survey scheme</w:t>
            </w:r>
          </w:p>
          <w:p w:rsidR="00000000" w:rsidRPr="00ED0DBA" w:rsidP="00ED0DBA">
            <w:pPr>
              <w:pStyle w:val="List2"/>
            </w:pPr>
            <w:r w:rsidRPr="00ED0DBA">
              <w:t>2.2</w:t>
            </w:r>
            <w:r w:rsidRPr="00ED0DBA">
              <w:tab/>
              <w:t>Data from the survey is recorded in accordance with organisational procedures and instructions</w:t>
            </w:r>
          </w:p>
          <w:p w:rsidR="00000000" w:rsidRPr="00ED0DBA" w:rsidP="00ED0DBA">
            <w:pPr>
              <w:pStyle w:val="List2"/>
            </w:pPr>
            <w:r w:rsidRPr="00ED0DBA">
              <w:t>2.3</w:t>
            </w:r>
            <w:r w:rsidRPr="00ED0DBA">
              <w:tab/>
              <w:t>Results are verified for omissions and errors b</w:t>
            </w:r>
            <w:r w:rsidRPr="00ED0DBA">
              <w:t>y re-checking visual clues in measurements or actual data</w:t>
            </w:r>
          </w:p>
          <w:p w:rsidR="00000000" w:rsidRPr="00ED0DBA" w:rsidP="00ED0DBA">
            <w:pPr>
              <w:pStyle w:val="List2"/>
            </w:pPr>
            <w:r w:rsidRPr="00ED0DBA">
              <w:t>2.4</w:t>
            </w:r>
            <w:r w:rsidRPr="00ED0DBA">
              <w:tab/>
            </w:r>
            <w:r w:rsidRPr="00ED0DBA">
              <w:rPr>
                <w:rStyle w:val="BoldandItalics"/>
              </w:rPr>
              <w:t>Survey data</w:t>
            </w:r>
            <w:r w:rsidRPr="00ED0DBA">
              <w:t xml:space="preserve"> is </w:t>
            </w:r>
            <w:r w:rsidRPr="00ED0DBA">
              <w:rPr>
                <w:rStyle w:val="BoldandItalics"/>
              </w:rPr>
              <w:t>communicated</w:t>
            </w:r>
            <w:r w:rsidRPr="00ED0DBA">
              <w:t xml:space="preserve"> in accordance with </w:t>
            </w:r>
            <w:r w:rsidRPr="00ED0DBA">
              <w:rPr>
                <w:rStyle w:val="BoldandItalics"/>
              </w:rPr>
              <w:t>standard procedures</w:t>
            </w:r>
          </w:p>
          <w:p w:rsidR="00000000" w:rsidRPr="00ED0DBA" w:rsidP="00ED0DBA">
            <w:pPr>
              <w:pStyle w:val="List2"/>
            </w:pPr>
            <w:r w:rsidRPr="00ED0DBA">
              <w:t>2.5</w:t>
            </w:r>
            <w:r w:rsidRPr="00ED0DBA">
              <w:tab/>
            </w:r>
            <w:r w:rsidRPr="00ED0DBA">
              <w:rPr>
                <w:rStyle w:val="BoldandItalics"/>
              </w:rPr>
              <w:t>Survey control points</w:t>
            </w:r>
            <w:r w:rsidRPr="00ED0DBA">
              <w:t xml:space="preserve"> are established and recorded in accordance with standard procedures</w:t>
            </w:r>
          </w:p>
          <w:p w:rsidR="00000000" w:rsidRPr="00ED0DBA" w:rsidP="00ED0DBA">
            <w:pPr>
              <w:pStyle w:val="List2"/>
            </w:pPr>
            <w:r w:rsidRPr="00ED0DBA">
              <w:t>2.6</w:t>
            </w:r>
            <w:r w:rsidRPr="00ED0DBA">
              <w:tab/>
              <w:t>Supervisor and colleagues are</w:t>
            </w:r>
            <w:r w:rsidRPr="00ED0DBA">
              <w:t xml:space="preserve"> communicated with regularly throughout the survey activity to ensure smooth operation and progress</w:t>
            </w:r>
          </w:p>
          <w:p w:rsidR="00000000" w:rsidP="00ED0DBA">
            <w:pPr>
              <w:pStyle w:val="List2"/>
              <w:rPr>
                <w:lang w:val="en-NZ"/>
              </w:rPr>
            </w:pPr>
            <w:r w:rsidRPr="00ED0DBA">
              <w:t>2.7</w:t>
            </w:r>
            <w:r w:rsidRPr="00ED0DBA">
              <w:tab/>
              <w:t xml:space="preserve">Survey equipment is </w:t>
            </w:r>
            <w:r w:rsidRPr="00ED0DBA">
              <w:rPr>
                <w:rStyle w:val="BoldandItalics"/>
              </w:rPr>
              <w:t>maintained</w:t>
            </w:r>
            <w:r w:rsidRPr="00ED0DBA">
              <w:t xml:space="preserve"> in accordance with standard procedures</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D0DBA">
            <w:pPr>
              <w:pStyle w:val="BodyText"/>
              <w:rPr>
                <w:lang w:val="en-NZ"/>
              </w:rPr>
            </w:pP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List"/>
              <w:rPr>
                <w:lang w:val="en-NZ"/>
              </w:rPr>
            </w:pPr>
            <w:r w:rsidRPr="00ED0DBA">
              <w:t>3.</w:t>
            </w:r>
            <w:r w:rsidRPr="00ED0DBA">
              <w:tab/>
            </w:r>
            <w:r w:rsidRPr="00ED0DBA">
              <w:rPr>
                <w:rStyle w:val="SpecialBold"/>
              </w:rPr>
              <w:t>Finalise survey tasks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List2"/>
            </w:pPr>
            <w:r w:rsidRPr="00ED0DBA">
              <w:t>3.1</w:t>
            </w:r>
            <w:r w:rsidRPr="00ED0DBA">
              <w:tab/>
            </w:r>
            <w:r w:rsidRPr="00ED0DBA">
              <w:t>All survey data is completed according to organisation's requirements</w:t>
            </w:r>
          </w:p>
          <w:p w:rsidR="00000000" w:rsidRPr="00ED0DBA" w:rsidP="00ED0DBA">
            <w:pPr>
              <w:pStyle w:val="List2"/>
            </w:pPr>
            <w:r w:rsidRPr="00ED0DBA">
              <w:t>3.2</w:t>
            </w:r>
            <w:r w:rsidRPr="00ED0DBA">
              <w:tab/>
              <w:t>All survey data and documentation is stored according to organisation's requirements</w:t>
            </w:r>
          </w:p>
          <w:p w:rsidR="00000000" w:rsidP="00ED0DBA">
            <w:pPr>
              <w:pStyle w:val="List2"/>
              <w:rPr>
                <w:lang w:val="en-NZ"/>
              </w:rPr>
            </w:pPr>
            <w:r w:rsidRPr="00ED0DBA">
              <w:t>3.3</w:t>
            </w:r>
            <w:r w:rsidRPr="00ED0DBA">
              <w:tab/>
              <w:t>Survey data integrity is checked in accordance with the test plan</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p>
        </w:tc>
      </w:tr>
    </w:tbl>
    <w:p w:rsidR="00000000" w:rsidRPr="00ED0DBA" w:rsidP="00ED0DBA">
      <w:pPr>
        <w:pStyle w:val="BodyText"/>
      </w:pPr>
    </w:p>
    <w:p w:rsidR="00000000" w:rsidRPr="00ED0DBA" w:rsidP="00ED0DBA">
      <w:pPr>
        <w:pStyle w:val="AllowPageBreak"/>
      </w:pPr>
    </w:p>
    <w:p w:rsidR="00000000" w:rsidRPr="00ED0DBA" w:rsidP="00ED0DBA">
      <w:pPr>
        <w:pStyle w:val="Heading1"/>
      </w:pPr>
      <w:bookmarkStart w:id="9" w:name="O_121595"/>
      <w:bookmarkEnd w:id="9"/>
      <w:r w:rsidRPr="00ED0DBA">
        <w:t>Required Skills and Knowledge</w:t>
      </w:r>
    </w:p>
    <w:tbl>
      <w:tblPr>
        <w:tblW w:w="0" w:type="auto"/>
        <w:tblLayout w:type="fixed"/>
        <w:tblCellMar>
          <w:left w:w="62" w:type="dxa"/>
          <w:right w:w="62" w:type="dxa"/>
        </w:tblCellMar>
        <w:tblLook w:val="0000"/>
      </w:tblPr>
      <w:tblGrid>
        <w:gridCol w:w="8640"/>
      </w:tblGrid>
      <w:tr w:rsidTr="000840D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rPr>
                <w:rStyle w:val="SpecialBold"/>
              </w:rPr>
              <w:t>REQUIRED SKILLS AND KNOWLEDGE</w:t>
            </w:r>
          </w:p>
        </w:tc>
      </w:tr>
      <w:tr w:rsidTr="000840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t>This describes the essential skills and knowledge and their level, required for this unit.</w:t>
            </w:r>
          </w:p>
        </w:tc>
      </w:tr>
      <w:tr w:rsidTr="000840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rPr>
                <w:rStyle w:val="SpecialBold"/>
              </w:rPr>
              <w:t>Required Skills</w:t>
            </w:r>
          </w:p>
        </w:tc>
      </w:tr>
      <w:tr w:rsidTr="000840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D0DBA" w:rsidP="00ED0DBA">
            <w:pPr>
              <w:pStyle w:val="ListBullet"/>
            </w:pPr>
            <w:r w:rsidRPr="00ED0DBA">
              <w:t>interpret data</w:t>
            </w:r>
          </w:p>
          <w:p w:rsidR="00000000" w:rsidRPr="00ED0DBA" w:rsidP="00ED0DBA">
            <w:pPr>
              <w:pStyle w:val="ListBullet"/>
            </w:pPr>
            <w:r w:rsidRPr="00ED0DBA">
              <w:t>record information</w:t>
            </w:r>
          </w:p>
          <w:p w:rsidR="00000000" w:rsidP="00ED0DBA">
            <w:pPr>
              <w:pStyle w:val="ListBullet"/>
              <w:rPr>
                <w:lang w:val="en-NZ"/>
              </w:rPr>
            </w:pPr>
            <w:r w:rsidRPr="00ED0DBA">
              <w:t>use communication systems</w:t>
            </w:r>
          </w:p>
        </w:tc>
      </w:tr>
      <w:tr w:rsidTr="000840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rPr>
                <w:rStyle w:val="SpecialBold"/>
              </w:rPr>
              <w:t>Required Knowledge</w:t>
            </w:r>
          </w:p>
        </w:tc>
      </w:tr>
      <w:tr w:rsidTr="000840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D0DBA" w:rsidP="00ED0DBA">
            <w:pPr>
              <w:pStyle w:val="ListBullet"/>
            </w:pPr>
            <w:r w:rsidRPr="00ED0DBA">
              <w:t xml:space="preserve">analytical processes </w:t>
            </w:r>
          </w:p>
          <w:p w:rsidR="00000000" w:rsidRPr="00ED0DBA" w:rsidP="00ED0DBA">
            <w:pPr>
              <w:pStyle w:val="ListBullet"/>
            </w:pPr>
            <w:r w:rsidRPr="00ED0DBA">
              <w:t>characteristics, tabulated data and limitations of the survey equipment</w:t>
            </w:r>
          </w:p>
          <w:p w:rsidR="00000000" w:rsidRPr="00ED0DBA" w:rsidP="00ED0DBA">
            <w:pPr>
              <w:pStyle w:val="ListBullet"/>
            </w:pPr>
            <w:r w:rsidRPr="00ED0DBA">
              <w:t>communication procedures</w:t>
            </w:r>
          </w:p>
          <w:p w:rsidR="00000000" w:rsidP="00ED0DBA">
            <w:pPr>
              <w:pStyle w:val="ListBullet"/>
              <w:rPr>
                <w:lang w:val="en-NZ"/>
              </w:rPr>
            </w:pPr>
            <w:r w:rsidRPr="00ED0DBA">
              <w:t>principles of survey</w:t>
            </w:r>
          </w:p>
        </w:tc>
      </w:tr>
      <w:tr w:rsidTr="000840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D0DBA" w:rsidP="00ED0DBA">
            <w:pPr>
              <w:pStyle w:val="BodyText"/>
            </w:pPr>
          </w:p>
        </w:tc>
      </w:tr>
    </w:tbl>
    <w:p w:rsidR="00000000" w:rsidRPr="00ED0DBA" w:rsidP="00ED0DBA">
      <w:pPr>
        <w:pStyle w:val="BodyText"/>
      </w:pPr>
    </w:p>
    <w:p w:rsidR="00000000" w:rsidRPr="00ED0DBA" w:rsidP="00ED0DBA">
      <w:pPr>
        <w:pStyle w:val="AllowPageBreak"/>
      </w:pPr>
    </w:p>
    <w:p w:rsidR="00000000" w:rsidRPr="00ED0DBA" w:rsidP="00ED0DBA">
      <w:pPr>
        <w:pStyle w:val="Heading1"/>
      </w:pPr>
      <w:bookmarkStart w:id="10" w:name="O_121596"/>
      <w:bookmarkEnd w:id="10"/>
      <w:r w:rsidRPr="00ED0DBA">
        <w:t>Evidence Guide</w:t>
      </w:r>
    </w:p>
    <w:tbl>
      <w:tblPr>
        <w:tblW w:w="0" w:type="auto"/>
        <w:tblLayout w:type="fixed"/>
        <w:tblCellMar>
          <w:left w:w="62" w:type="dxa"/>
          <w:right w:w="62" w:type="dxa"/>
        </w:tblCellMar>
        <w:tblLook w:val="0000"/>
      </w:tblPr>
      <w:tblGrid>
        <w:gridCol w:w="3060"/>
        <w:gridCol w:w="5580"/>
      </w:tblGrid>
      <w:tr w:rsidTr="000840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D0DBA">
            <w:pPr>
              <w:pStyle w:val="BodyText"/>
              <w:rPr>
                <w:lang w:val="en-NZ"/>
              </w:rPr>
            </w:pPr>
          </w:p>
        </w:tc>
      </w:tr>
      <w:tr w:rsidTr="000840D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t>The evidence guide provides advice on assessment and must be read in conjunction with the Performance Criteria, Required Skills and Knowledge, the Range Statement and the Assessment Guidelines for this Training Package.</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Critical aspects for assessment an</w:t>
            </w:r>
            <w:r w:rsidRPr="00ED0DBA">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Assessment must confirm the ability to</w:t>
            </w:r>
          </w:p>
          <w:p w:rsidR="00000000" w:rsidRPr="00ED0DBA" w:rsidP="00ED0DBA">
            <w:pPr>
              <w:pStyle w:val="ListBullet"/>
            </w:pPr>
            <w:r w:rsidRPr="00ED0DBA">
              <w:t>provide the survey data required to conduct proof firings</w:t>
            </w:r>
          </w:p>
          <w:p w:rsidR="00000000" w:rsidRPr="00ED0DBA" w:rsidP="00ED0DBA">
            <w:pPr>
              <w:pStyle w:val="ListBullet"/>
            </w:pPr>
            <w:r w:rsidRPr="00ED0DBA">
              <w:t>maintain the survey data and documentation.</w:t>
            </w:r>
          </w:p>
          <w:p w:rsidR="00000000" w:rsidRPr="00ED0DBA" w:rsidP="00ED0DBA">
            <w:pPr>
              <w:pStyle w:val="BodyText"/>
            </w:pPr>
            <w:r w:rsidRPr="00ED0DBA">
              <w:rPr>
                <w:rStyle w:val="SpecialBold"/>
              </w:rPr>
              <w:t>Consistency in performance</w:t>
            </w:r>
          </w:p>
          <w:p w:rsidR="00000000" w:rsidP="00ED0DBA">
            <w:pPr>
              <w:pStyle w:val="BodyText"/>
              <w:rPr>
                <w:lang w:val="en-NZ"/>
              </w:rPr>
            </w:pPr>
            <w:r w:rsidRPr="00ED0DBA">
              <w:t>Competency should be demonstrated over time in a variety of environments and tests/trials.</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D0DBA">
            <w:pPr>
              <w:pStyle w:val="BodyText"/>
              <w:rPr>
                <w:lang w:val="en-NZ"/>
              </w:rPr>
            </w:pP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D0DBA" w:rsidP="00ED0DBA">
            <w:pPr>
              <w:pStyle w:val="BodyText"/>
            </w:pPr>
            <w:r w:rsidRPr="00ED0DBA">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rPr>
                <w:rStyle w:val="SpecialBold"/>
              </w:rPr>
              <w:t>Context of assessment</w:t>
            </w:r>
          </w:p>
          <w:p w:rsidR="00000000" w:rsidRPr="00ED0DBA" w:rsidP="00ED0DBA">
            <w:pPr>
              <w:pStyle w:val="BodyText"/>
            </w:pPr>
            <w:r w:rsidRPr="00ED0DBA">
              <w:t>Competency should be assessed in the workplace or in a simulated work environment, in acco</w:t>
            </w:r>
            <w:r w:rsidRPr="00ED0DBA">
              <w:t>rdance with all relevant legislation and organisational requirements.</w:t>
            </w:r>
          </w:p>
          <w:p w:rsidR="00000000" w:rsidRPr="00ED0DBA" w:rsidP="00ED0DBA">
            <w:pPr>
              <w:pStyle w:val="BodyText"/>
            </w:pPr>
            <w:r w:rsidRPr="00ED0DBA">
              <w:rPr>
                <w:rStyle w:val="SpecialBold"/>
              </w:rPr>
              <w:t>Specific resources for assessment</w:t>
            </w:r>
          </w:p>
          <w:p w:rsidR="00000000" w:rsidRPr="00ED0DBA" w:rsidP="00ED0DBA">
            <w:pPr>
              <w:pStyle w:val="BodyText"/>
            </w:pPr>
            <w:r w:rsidRPr="00ED0DBA">
              <w:t>Access is required to:</w:t>
            </w:r>
          </w:p>
          <w:p w:rsidR="00000000" w:rsidRPr="00ED0DBA" w:rsidP="00ED0DBA">
            <w:pPr>
              <w:pStyle w:val="ListBullet"/>
            </w:pPr>
            <w:r w:rsidRPr="00ED0DBA">
              <w:t>appropriate survey equipment</w:t>
            </w:r>
          </w:p>
          <w:p w:rsidR="00000000" w:rsidP="00ED0DBA">
            <w:pPr>
              <w:pStyle w:val="ListBullet"/>
              <w:rPr>
                <w:lang w:val="en-NZ"/>
              </w:rPr>
            </w:pPr>
            <w:r w:rsidRPr="00ED0DBA">
              <w:t>proof testing range.</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D0DBA">
            <w:pPr>
              <w:pStyle w:val="BodyText"/>
              <w:rPr>
                <w:lang w:val="en-NZ"/>
              </w:rPr>
            </w:pP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This unit may be assessed with the following unit:</w:t>
            </w:r>
          </w:p>
          <w:p w:rsidR="00000000" w:rsidRPr="00ED0DBA" w:rsidP="00ED0DBA">
            <w:pPr>
              <w:pStyle w:val="ListBullet"/>
            </w:pPr>
            <w:r w:rsidRPr="00ED0DBA">
              <w:t>PUADEFEO101D Work safely with explosive ordnance.</w:t>
            </w:r>
          </w:p>
          <w:p w:rsidR="00000000" w:rsidRPr="00ED0DBA" w:rsidP="00ED0DBA">
            <w:pPr>
              <w:pStyle w:val="BodyText"/>
            </w:pPr>
            <w:r w:rsidRPr="00ED0DBA">
              <w:t>In a public safety environment assessment is usually conducted via direct observation in a training environment or in the workplace via subject matter supervision and/or mentoring, which is typically record</w:t>
            </w:r>
            <w:r w:rsidRPr="00ED0DBA">
              <w:t>ed in a competency workbook.</w:t>
            </w:r>
          </w:p>
          <w:p w:rsidR="00000000" w:rsidRPr="00ED0DBA" w:rsidP="00ED0DBA">
            <w:pPr>
              <w:pStyle w:val="BodyText"/>
            </w:pPr>
            <w:r w:rsidRPr="00ED0DBA">
              <w:t>Assessment is completed using appropriately qualified assessors who select the most appropriate method of assessment.</w:t>
            </w:r>
          </w:p>
          <w:p w:rsidR="00000000" w:rsidRPr="00ED0DBA" w:rsidP="00ED0DBA">
            <w:pPr>
              <w:pStyle w:val="BodyText"/>
            </w:pPr>
            <w:r w:rsidRPr="00ED0DBA">
              <w:t>Assessment may occur in an operational environment or in an industry-approved simulated work environment. For</w:t>
            </w:r>
            <w:r w:rsidRPr="00ED0DBA">
              <w:t>ms of assessment that are typically used include:</w:t>
            </w:r>
          </w:p>
          <w:p w:rsidR="00000000" w:rsidRPr="00ED0DBA" w:rsidP="00ED0DBA">
            <w:pPr>
              <w:pStyle w:val="ListBullet"/>
            </w:pPr>
            <w:r w:rsidRPr="00ED0DBA">
              <w:t>direct observation</w:t>
            </w:r>
          </w:p>
          <w:p w:rsidR="00000000" w:rsidRPr="00ED0DBA" w:rsidP="00ED0DBA">
            <w:pPr>
              <w:pStyle w:val="ListBullet"/>
            </w:pPr>
            <w:r w:rsidRPr="00ED0DBA">
              <w:t>interviewing the candidate</w:t>
            </w:r>
          </w:p>
          <w:p w:rsidR="00000000" w:rsidRPr="00ED0DBA" w:rsidP="00ED0DBA">
            <w:pPr>
              <w:pStyle w:val="ListBullet"/>
            </w:pPr>
            <w:r w:rsidRPr="00ED0DBA">
              <w:t>journals and workplace documentation</w:t>
            </w:r>
          </w:p>
          <w:p w:rsidR="00000000" w:rsidRPr="00ED0DBA" w:rsidP="00ED0DBA">
            <w:pPr>
              <w:pStyle w:val="ListBullet"/>
            </w:pPr>
            <w:r w:rsidRPr="00ED0DBA">
              <w:t>third party reports from supervisors</w:t>
            </w:r>
          </w:p>
          <w:p w:rsidR="00000000" w:rsidRPr="00ED0DBA" w:rsidP="00ED0DBA">
            <w:pPr>
              <w:pStyle w:val="ListBullet"/>
            </w:pPr>
            <w:r w:rsidRPr="00ED0DBA">
              <w:t>written or oral questions.</w:t>
            </w:r>
          </w:p>
        </w:tc>
      </w:tr>
    </w:tbl>
    <w:p w:rsidR="00000000" w:rsidRPr="00ED0DBA" w:rsidP="00ED0DBA">
      <w:pPr>
        <w:pStyle w:val="BodyText"/>
      </w:pPr>
    </w:p>
    <w:p w:rsidR="00000000" w:rsidRPr="00ED0DBA" w:rsidP="00ED0DBA">
      <w:pPr>
        <w:pStyle w:val="AllowPageBreak"/>
      </w:pPr>
    </w:p>
    <w:p w:rsidR="00000000" w:rsidRPr="00ED0DBA" w:rsidP="00ED0DBA">
      <w:pPr>
        <w:pStyle w:val="Heading1"/>
      </w:pPr>
      <w:bookmarkStart w:id="11" w:name="O_121597"/>
      <w:bookmarkEnd w:id="11"/>
      <w:r w:rsidRPr="00ED0DBA">
        <w:t>Range Statement</w:t>
      </w:r>
    </w:p>
    <w:tbl>
      <w:tblPr>
        <w:tblW w:w="0" w:type="auto"/>
        <w:tblLayout w:type="fixed"/>
        <w:tblCellMar>
          <w:left w:w="62" w:type="dxa"/>
          <w:right w:w="62" w:type="dxa"/>
        </w:tblCellMar>
        <w:tblLook w:val="0000"/>
      </w:tblPr>
      <w:tblGrid>
        <w:gridCol w:w="3060"/>
        <w:gridCol w:w="5580"/>
      </w:tblGrid>
      <w:tr w:rsidTr="000840D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rPr>
                <w:rStyle w:val="SpecialBold"/>
              </w:rPr>
              <w:t>RANGE STATEMENT</w:t>
            </w:r>
          </w:p>
        </w:tc>
      </w:tr>
      <w:tr w:rsidTr="000840D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D0DBA">
            <w:pPr>
              <w:pStyle w:val="BodyText"/>
              <w:rPr>
                <w:lang w:val="en-NZ"/>
              </w:rPr>
            </w:pPr>
            <w:r w:rsidRPr="00ED0DBA">
              <w:t xml:space="preserve">The Range Statement relates to the Unit of Competency as a whole. It allows for different work environments and situations that may affect performance. </w:t>
            </w:r>
            <w:r w:rsidRPr="00ED0DBA">
              <w:rPr>
                <w:rStyle w:val="BoldandItalics"/>
              </w:rPr>
              <w:t>Bold italicised</w:t>
            </w:r>
            <w:r w:rsidRPr="00ED0DBA">
              <w:t xml:space="preserve"> wording in the Performance Criteria is detailed below.</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Client</w:t>
            </w:r>
            <w:r w:rsidRPr="00ED0DBA">
              <w:t>s or customers (internal and external)</w:t>
            </w:r>
          </w:p>
          <w:p w:rsidR="00000000" w:rsidRPr="00ED0DBA" w:rsidP="00ED0DBA">
            <w:pPr>
              <w:pStyle w:val="BodyText"/>
            </w:pPr>
            <w:r w:rsidRPr="00ED0DBA">
              <w:t>End user/s</w:t>
            </w:r>
          </w:p>
          <w:p w:rsidR="00000000" w:rsidRPr="00ED0DBA" w:rsidP="00ED0DBA">
            <w:pPr>
              <w:pStyle w:val="BodyText"/>
            </w:pPr>
            <w:r w:rsidRPr="00ED0DBA">
              <w:t>General public</w:t>
            </w:r>
          </w:p>
          <w:p w:rsidR="00000000" w:rsidRPr="00ED0DBA" w:rsidP="00ED0DBA">
            <w:pPr>
              <w:pStyle w:val="BodyText"/>
            </w:pPr>
            <w:r w:rsidRPr="00ED0DBA">
              <w:t xml:space="preserve">Industry </w:t>
            </w:r>
          </w:p>
          <w:p w:rsidR="00000000" w:rsidRPr="00ED0DBA" w:rsidP="00ED0DBA">
            <w:pPr>
              <w:pStyle w:val="BodyText"/>
            </w:pPr>
            <w:r w:rsidRPr="00ED0DBA">
              <w:t>Landowner/s</w:t>
            </w:r>
          </w:p>
          <w:p w:rsidR="00000000" w:rsidRPr="00ED0DBA" w:rsidP="00ED0DBA">
            <w:pPr>
              <w:pStyle w:val="BodyText"/>
            </w:pPr>
            <w:r w:rsidRPr="00ED0DBA">
              <w:t>Organisation's senior management</w:t>
            </w:r>
          </w:p>
          <w:p w:rsidR="00000000" w:rsidRPr="00ED0DBA" w:rsidP="00ED0DBA">
            <w:pPr>
              <w:pStyle w:val="BodyText"/>
            </w:pPr>
            <w:r w:rsidRPr="00ED0DBA">
              <w:t>Other agencies</w:t>
            </w:r>
          </w:p>
          <w:p w:rsidR="00000000" w:rsidRPr="00ED0DBA" w:rsidP="00ED0DBA">
            <w:pPr>
              <w:pStyle w:val="BodyText"/>
            </w:pPr>
            <w:r w:rsidRPr="00ED0DBA">
              <w:t>Other functional areas within the organisation</w:t>
            </w:r>
          </w:p>
          <w:p w:rsidR="00000000" w:rsidRPr="00ED0DBA" w:rsidP="00ED0DBA">
            <w:pPr>
              <w:pStyle w:val="BodyText"/>
            </w:pPr>
            <w:r w:rsidRPr="00ED0DBA">
              <w:t>Project teams</w:t>
            </w:r>
          </w:p>
          <w:p w:rsidR="00000000" w:rsidRPr="00ED0DBA" w:rsidP="00ED0DBA">
            <w:pPr>
              <w:pStyle w:val="BodyText"/>
            </w:pPr>
            <w:r w:rsidRPr="00ED0DBA">
              <w:t>Relevant interest groups</w:t>
            </w:r>
          </w:p>
          <w:p w:rsidR="00000000" w:rsidRPr="00ED0DBA" w:rsidP="00ED0DBA">
            <w:pPr>
              <w:pStyle w:val="BodyText"/>
            </w:pPr>
            <w:r w:rsidRPr="00ED0DBA">
              <w:t>Sponsor/funding bodies</w:t>
            </w:r>
          </w:p>
          <w:p w:rsidR="00000000" w:rsidRPr="00ED0DBA" w:rsidP="00ED0DBA">
            <w:pPr>
              <w:pStyle w:val="BodyText"/>
            </w:pPr>
            <w:r w:rsidRPr="00ED0DBA">
              <w:t>Steering committee members</w:t>
            </w:r>
          </w:p>
          <w:p w:rsidR="00000000" w:rsidRPr="00ED0DBA" w:rsidP="00ED0DBA">
            <w:pPr>
              <w:pStyle w:val="BodyText"/>
            </w:pPr>
            <w:r w:rsidRPr="00ED0DBA">
              <w:t>Supplier/service provider</w:t>
            </w:r>
          </w:p>
          <w:p w:rsidR="00000000" w:rsidP="00ED0DBA">
            <w:pPr>
              <w:pStyle w:val="BodyText"/>
              <w:rPr>
                <w:lang w:val="en-NZ"/>
              </w:rPr>
            </w:pPr>
            <w:r w:rsidRPr="00ED0DBA">
              <w:t>Unions</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Defence</w:t>
            </w:r>
          </w:p>
          <w:p w:rsidR="00000000" w:rsidRPr="00ED0DBA" w:rsidP="00ED0DBA">
            <w:pPr>
              <w:pStyle w:val="BodyText"/>
            </w:pPr>
            <w:r w:rsidRPr="00ED0DBA">
              <w:t>Defence contractors and sub-contractors</w:t>
            </w:r>
          </w:p>
          <w:p w:rsidR="00000000" w:rsidRPr="00ED0DBA" w:rsidP="00ED0DBA">
            <w:pPr>
              <w:pStyle w:val="BodyText"/>
            </w:pPr>
            <w:r w:rsidRPr="00ED0DBA">
              <w:t>Defence Materiel Organisation</w:t>
            </w:r>
          </w:p>
          <w:p w:rsidR="00000000" w:rsidRPr="00ED0DBA" w:rsidP="00ED0DBA">
            <w:pPr>
              <w:pStyle w:val="BodyText"/>
            </w:pPr>
            <w:r w:rsidRPr="00ED0DBA">
              <w:t>Defence Science and Technology Organisation</w:t>
            </w:r>
          </w:p>
          <w:p w:rsidR="00000000" w:rsidP="00ED0DBA">
            <w:pPr>
              <w:pStyle w:val="BodyText"/>
              <w:rPr>
                <w:lang w:val="en-NZ"/>
              </w:rPr>
            </w:pPr>
            <w:r w:rsidRPr="00ED0DBA">
              <w:t>International test agencies</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Policies and proce</w:t>
            </w:r>
            <w:r w:rsidRPr="00ED0DBA">
              <w:rPr>
                <w:rStyle w:val="SpecialBold"/>
              </w:rPr>
              <w:t>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Government and organisational policy, guidelines and procedures relating to:</w:t>
            </w:r>
          </w:p>
          <w:p w:rsidR="00000000" w:rsidRPr="00ED0DBA" w:rsidP="00ED0DBA">
            <w:pPr>
              <w:pStyle w:val="ListBullet"/>
            </w:pPr>
            <w:r w:rsidRPr="00ED0DBA">
              <w:t>delegation approvals</w:t>
            </w:r>
          </w:p>
          <w:p w:rsidR="00000000" w:rsidRPr="00ED0DBA" w:rsidP="00ED0DBA">
            <w:pPr>
              <w:pStyle w:val="ListBullet"/>
            </w:pPr>
            <w:r w:rsidRPr="00ED0DBA">
              <w:t>industrial agreements</w:t>
            </w:r>
          </w:p>
          <w:p w:rsidR="00000000" w:rsidRPr="00ED0DBA" w:rsidP="00ED0DBA">
            <w:pPr>
              <w:pStyle w:val="ListBullet"/>
            </w:pPr>
            <w:r w:rsidRPr="00ED0DBA">
              <w:t>procurement guidelines</w:t>
            </w:r>
          </w:p>
          <w:p w:rsidR="00000000" w:rsidRPr="00ED0DBA" w:rsidP="00ED0DBA">
            <w:pPr>
              <w:pStyle w:val="ListBullet"/>
            </w:pPr>
            <w:r w:rsidRPr="00ED0DBA">
              <w:t>resourcing</w:t>
            </w:r>
          </w:p>
          <w:p w:rsidR="00000000" w:rsidRPr="00ED0DBA" w:rsidP="00ED0DBA">
            <w:pPr>
              <w:pStyle w:val="ListBullet"/>
            </w:pPr>
            <w:r w:rsidRPr="00ED0DBA">
              <w:t>risk management</w:t>
            </w:r>
          </w:p>
          <w:p w:rsidR="00000000" w:rsidRPr="00ED0DBA" w:rsidP="00ED0DBA">
            <w:pPr>
              <w:pStyle w:val="ListBullet"/>
            </w:pPr>
            <w:r w:rsidRPr="00ED0DBA">
              <w:t>security</w:t>
            </w:r>
          </w:p>
          <w:p w:rsidR="00000000" w:rsidRPr="00ED0DBA" w:rsidP="00ED0DBA">
            <w:pPr>
              <w:pStyle w:val="ListBullet"/>
            </w:pPr>
            <w:r w:rsidRPr="00ED0DBA">
              <w:t>strategic or operational plans</w:t>
            </w:r>
          </w:p>
          <w:p w:rsidR="00000000" w:rsidRPr="00ED0DBA" w:rsidP="00ED0DBA">
            <w:pPr>
              <w:pStyle w:val="ListBullet"/>
            </w:pPr>
            <w:r w:rsidRPr="00ED0DBA">
              <w:t>technical and regulatory framework</w:t>
            </w:r>
          </w:p>
          <w:p w:rsidR="00000000" w:rsidRPr="00ED0DBA" w:rsidP="00ED0DBA">
            <w:pPr>
              <w:pStyle w:val="ListBullet"/>
            </w:pPr>
            <w:r w:rsidRPr="00ED0DBA">
              <w:t>testing and evaluation</w:t>
            </w:r>
          </w:p>
          <w:p w:rsidR="00000000" w:rsidRPr="00ED0DBA" w:rsidP="00ED0DBA">
            <w:pPr>
              <w:pStyle w:val="ListBullet"/>
            </w:pPr>
            <w:r w:rsidRPr="00ED0DBA">
              <w:t>training</w:t>
            </w:r>
          </w:p>
          <w:p w:rsidR="00000000" w:rsidRPr="00ED0DBA" w:rsidP="00ED0DBA">
            <w:pPr>
              <w:pStyle w:val="BodyText"/>
            </w:pPr>
            <w:r w:rsidRPr="00ED0DBA">
              <w:t>Relevant commonwealth, state/territory and local laws affecting organisation's administration such as:</w:t>
            </w:r>
          </w:p>
          <w:p w:rsidR="00000000" w:rsidRPr="00ED0DBA" w:rsidP="00ED0DBA">
            <w:pPr>
              <w:pStyle w:val="ListBullet"/>
            </w:pPr>
            <w:r w:rsidRPr="00ED0DBA">
              <w:t>financial management and accounting legislation and regulations</w:t>
            </w:r>
          </w:p>
          <w:p w:rsidR="00000000" w:rsidRPr="00ED0DBA" w:rsidP="00ED0DBA">
            <w:pPr>
              <w:pStyle w:val="ListBullet"/>
            </w:pPr>
            <w:r w:rsidRPr="00ED0DBA">
              <w:t>occupational health a</w:t>
            </w:r>
            <w:r w:rsidRPr="00ED0DBA">
              <w:t>nd safety (OH&amp;S) legislation</w:t>
            </w:r>
          </w:p>
          <w:p w:rsidR="00000000" w:rsidP="00ED0DBA">
            <w:pPr>
              <w:pStyle w:val="ListBullet"/>
              <w:rPr>
                <w:lang w:val="en-NZ"/>
              </w:rPr>
            </w:pPr>
            <w:r w:rsidRPr="00ED0DBA">
              <w:t>public sector management acts</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Budget and financial management strategy</w:t>
            </w:r>
          </w:p>
          <w:p w:rsidR="00000000" w:rsidRPr="00ED0DBA" w:rsidP="00ED0DBA">
            <w:pPr>
              <w:pStyle w:val="BodyText"/>
            </w:pPr>
            <w:r w:rsidRPr="00ED0DBA">
              <w:t>Contract management</w:t>
            </w:r>
          </w:p>
          <w:p w:rsidR="00000000" w:rsidRPr="00ED0DBA" w:rsidP="00ED0DBA">
            <w:pPr>
              <w:pStyle w:val="BodyText"/>
            </w:pPr>
            <w:r w:rsidRPr="00ED0DBA">
              <w:t>Cost estimates</w:t>
            </w:r>
          </w:p>
          <w:p w:rsidR="00000000" w:rsidRPr="00ED0DBA" w:rsidP="00ED0DBA">
            <w:pPr>
              <w:pStyle w:val="BodyText"/>
            </w:pPr>
            <w:r w:rsidRPr="00ED0DBA">
              <w:t>Data acquisition strategies</w:t>
            </w:r>
          </w:p>
          <w:p w:rsidR="00000000" w:rsidRPr="00ED0DBA" w:rsidP="00ED0DBA">
            <w:pPr>
              <w:pStyle w:val="BodyText"/>
            </w:pPr>
            <w:r w:rsidRPr="00ED0DBA">
              <w:t>Evaluation criteria</w:t>
            </w:r>
          </w:p>
          <w:p w:rsidR="00000000" w:rsidRPr="00ED0DBA" w:rsidP="00ED0DBA">
            <w:pPr>
              <w:pStyle w:val="BodyText"/>
            </w:pPr>
            <w:r w:rsidRPr="00ED0DBA">
              <w:t xml:space="preserve">Expected/measurable outcomes </w:t>
            </w:r>
          </w:p>
          <w:p w:rsidR="00000000" w:rsidRPr="00ED0DBA" w:rsidP="00ED0DBA">
            <w:pPr>
              <w:pStyle w:val="BodyText"/>
            </w:pPr>
            <w:r w:rsidRPr="00ED0DBA">
              <w:t>Facilities</w:t>
            </w:r>
          </w:p>
          <w:p w:rsidR="00000000" w:rsidRPr="00ED0DBA" w:rsidP="00ED0DBA">
            <w:pPr>
              <w:pStyle w:val="BodyText"/>
            </w:pPr>
            <w:r w:rsidRPr="00ED0DBA">
              <w:t>Functional performance specifications</w:t>
            </w:r>
          </w:p>
          <w:p w:rsidR="00000000" w:rsidRPr="00ED0DBA" w:rsidP="00ED0DBA">
            <w:pPr>
              <w:pStyle w:val="BodyText"/>
            </w:pPr>
            <w:r w:rsidRPr="00ED0DBA">
              <w:t>Governance strategy</w:t>
            </w:r>
          </w:p>
          <w:p w:rsidR="00000000" w:rsidRPr="00ED0DBA" w:rsidP="00ED0DBA">
            <w:pPr>
              <w:pStyle w:val="BodyText"/>
            </w:pPr>
            <w:r w:rsidRPr="00ED0DBA">
              <w:t>Implementation strategy</w:t>
            </w:r>
          </w:p>
          <w:p w:rsidR="00000000" w:rsidRPr="00ED0DBA" w:rsidP="00ED0DBA">
            <w:pPr>
              <w:pStyle w:val="BodyText"/>
            </w:pPr>
            <w:r w:rsidRPr="00ED0DBA">
              <w:t xml:space="preserve">Inclusions and exclusions </w:t>
            </w:r>
          </w:p>
          <w:p w:rsidR="00000000" w:rsidRPr="00ED0DBA" w:rsidP="00ED0DBA">
            <w:pPr>
              <w:pStyle w:val="BodyText"/>
            </w:pPr>
            <w:r w:rsidRPr="00ED0DBA">
              <w:t>Information/communication strategy</w:t>
            </w:r>
          </w:p>
          <w:p w:rsidR="00000000" w:rsidRPr="00ED0DBA" w:rsidP="00ED0DBA">
            <w:pPr>
              <w:pStyle w:val="BodyText"/>
            </w:pPr>
            <w:r w:rsidRPr="00ED0DBA">
              <w:t>Intellectual property strategies</w:t>
            </w:r>
          </w:p>
          <w:p w:rsidR="00000000" w:rsidRPr="00ED0DBA" w:rsidP="00ED0DBA">
            <w:pPr>
              <w:pStyle w:val="BodyText"/>
            </w:pPr>
            <w:r w:rsidRPr="00ED0DBA">
              <w:t>Milestones</w:t>
            </w:r>
          </w:p>
          <w:p w:rsidR="00000000" w:rsidRPr="00ED0DBA" w:rsidP="00ED0DBA">
            <w:pPr>
              <w:pStyle w:val="BodyText"/>
            </w:pPr>
            <w:r w:rsidRPr="00ED0DBA">
              <w:t>Objectives</w:t>
            </w:r>
          </w:p>
          <w:p w:rsidR="00000000" w:rsidRPr="00ED0DBA" w:rsidP="00ED0DBA">
            <w:pPr>
              <w:pStyle w:val="BodyText"/>
            </w:pPr>
            <w:r w:rsidRPr="00ED0DBA">
              <w:t>Occupational concept document</w:t>
            </w:r>
          </w:p>
          <w:p w:rsidR="00000000" w:rsidRPr="00ED0DBA" w:rsidP="00ED0DBA">
            <w:pPr>
              <w:pStyle w:val="BodyText"/>
            </w:pPr>
            <w:r w:rsidRPr="00ED0DBA">
              <w:t>People plan including human</w:t>
            </w:r>
            <w:r w:rsidRPr="00ED0DBA">
              <w:t xml:space="preserve"> resource management and human resource development</w:t>
            </w:r>
          </w:p>
          <w:p w:rsidR="00000000" w:rsidRPr="00ED0DBA" w:rsidP="00ED0DBA">
            <w:pPr>
              <w:pStyle w:val="BodyText"/>
            </w:pPr>
            <w:r w:rsidRPr="00ED0DBA">
              <w:t>Performance criteria/indicators</w:t>
            </w:r>
          </w:p>
          <w:p w:rsidR="00000000" w:rsidRPr="00ED0DBA" w:rsidP="00ED0DBA">
            <w:pPr>
              <w:pStyle w:val="BodyText"/>
            </w:pPr>
            <w:r w:rsidRPr="00ED0DBA">
              <w:t>Purpose</w:t>
            </w:r>
          </w:p>
          <w:p w:rsidR="00000000" w:rsidRPr="00ED0DBA" w:rsidP="00ED0DBA">
            <w:pPr>
              <w:pStyle w:val="BodyText"/>
            </w:pPr>
            <w:r w:rsidRPr="00ED0DBA">
              <w:t>Quality assurance</w:t>
            </w:r>
          </w:p>
          <w:p w:rsidR="00000000" w:rsidRPr="00ED0DBA" w:rsidP="00ED0DBA">
            <w:pPr>
              <w:pStyle w:val="BodyText"/>
            </w:pPr>
            <w:r w:rsidRPr="00ED0DBA">
              <w:t>Quality control</w:t>
            </w:r>
          </w:p>
          <w:p w:rsidR="00000000" w:rsidRPr="00ED0DBA" w:rsidP="00ED0DBA">
            <w:pPr>
              <w:pStyle w:val="BodyText"/>
            </w:pPr>
            <w:r w:rsidRPr="00ED0DBA">
              <w:t xml:space="preserve">Quality standards </w:t>
            </w:r>
          </w:p>
          <w:p w:rsidR="00000000" w:rsidRPr="00ED0DBA" w:rsidP="00ED0DBA">
            <w:pPr>
              <w:pStyle w:val="BodyText"/>
            </w:pPr>
            <w:r w:rsidRPr="00ED0DBA">
              <w:t>Rationale</w:t>
            </w:r>
          </w:p>
          <w:p w:rsidR="00000000" w:rsidRPr="00ED0DBA" w:rsidP="00ED0DBA">
            <w:pPr>
              <w:pStyle w:val="BodyText"/>
            </w:pPr>
            <w:r w:rsidRPr="00ED0DBA">
              <w:t xml:space="preserve">Required resources </w:t>
            </w:r>
          </w:p>
          <w:p w:rsidR="00000000" w:rsidRPr="00ED0DBA" w:rsidP="00ED0DBA">
            <w:pPr>
              <w:pStyle w:val="BodyText"/>
            </w:pPr>
            <w:r w:rsidRPr="00ED0DBA">
              <w:t>Resource management</w:t>
            </w:r>
          </w:p>
          <w:p w:rsidR="00000000" w:rsidRPr="00ED0DBA" w:rsidP="00ED0DBA">
            <w:pPr>
              <w:pStyle w:val="BodyText"/>
            </w:pPr>
            <w:r w:rsidRPr="00ED0DBA">
              <w:t>Risk management</w:t>
            </w:r>
          </w:p>
          <w:p w:rsidR="00000000" w:rsidRPr="00ED0DBA" w:rsidP="00ED0DBA">
            <w:pPr>
              <w:pStyle w:val="BodyText"/>
            </w:pPr>
            <w:r w:rsidRPr="00ED0DBA">
              <w:t>Roles and responsibilities</w:t>
            </w:r>
          </w:p>
          <w:p w:rsidR="00000000" w:rsidRPr="00ED0DBA" w:rsidP="00ED0DBA">
            <w:pPr>
              <w:pStyle w:val="BodyText"/>
            </w:pPr>
            <w:r w:rsidRPr="00ED0DBA">
              <w:t>Safety criteria</w:t>
            </w:r>
          </w:p>
          <w:p w:rsidR="00000000" w:rsidRPr="00ED0DBA" w:rsidP="00ED0DBA">
            <w:pPr>
              <w:pStyle w:val="BodyText"/>
            </w:pPr>
            <w:r w:rsidRPr="00ED0DBA">
              <w:t>Schedule/timeline</w:t>
            </w:r>
          </w:p>
          <w:p w:rsidR="00000000" w:rsidRPr="00ED0DBA" w:rsidP="00ED0DBA">
            <w:pPr>
              <w:pStyle w:val="BodyText"/>
            </w:pPr>
            <w:r w:rsidRPr="00ED0DBA">
              <w:t>Specific equipment, instrumentation, and/or specialised facilities and required conditions</w:t>
            </w:r>
          </w:p>
          <w:p w:rsidR="00000000" w:rsidRPr="00ED0DBA" w:rsidP="00ED0DBA">
            <w:pPr>
              <w:pStyle w:val="BodyText"/>
            </w:pPr>
            <w:r w:rsidRPr="00ED0DBA">
              <w:t>Survey data</w:t>
            </w:r>
          </w:p>
          <w:p w:rsidR="00000000" w:rsidRPr="00ED0DBA" w:rsidP="00ED0DBA">
            <w:pPr>
              <w:pStyle w:val="BodyText"/>
            </w:pPr>
            <w:r w:rsidRPr="00ED0DBA">
              <w:t>Task/WBS</w:t>
            </w:r>
          </w:p>
          <w:p w:rsidR="00000000" w:rsidRPr="00ED0DBA" w:rsidP="00ED0DBA">
            <w:pPr>
              <w:pStyle w:val="BodyText"/>
            </w:pPr>
            <w:r w:rsidRPr="00ED0DBA">
              <w:t>Test and evaluation master plan (TEMP) criteria</w:t>
            </w:r>
          </w:p>
          <w:p w:rsidR="00000000" w:rsidRPr="00ED0DBA" w:rsidP="00ED0DBA">
            <w:pPr>
              <w:pStyle w:val="BodyText"/>
            </w:pPr>
            <w:r w:rsidRPr="00ED0DBA">
              <w:t>Test concept document</w:t>
            </w:r>
          </w:p>
          <w:p w:rsidR="00000000" w:rsidRPr="00ED0DBA" w:rsidP="00ED0DBA">
            <w:pPr>
              <w:pStyle w:val="BodyText"/>
            </w:pPr>
            <w:r w:rsidRPr="00ED0DBA">
              <w:t>Testing control mechanisms</w:t>
            </w:r>
          </w:p>
          <w:p w:rsidR="00000000" w:rsidP="00ED0DBA">
            <w:pPr>
              <w:pStyle w:val="BodyText"/>
              <w:rPr>
                <w:lang w:val="en-NZ"/>
              </w:rPr>
            </w:pPr>
            <w:r w:rsidRPr="00ED0DBA">
              <w:t>Testing deliverables and thei</w:t>
            </w:r>
            <w:r w:rsidRPr="00ED0DBA">
              <w:t>r acceptance criteria</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Survey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Artillery gun laying system (gun mounted global positioning system [GPS] receiver systems)</w:t>
            </w:r>
          </w:p>
          <w:p w:rsidR="00000000" w:rsidRPr="00ED0DBA" w:rsidP="00ED0DBA">
            <w:pPr>
              <w:pStyle w:val="BodyText"/>
            </w:pPr>
            <w:r w:rsidRPr="00ED0DBA">
              <w:t>Electronic distance measuring equipment</w:t>
            </w:r>
          </w:p>
          <w:p w:rsidR="00000000" w:rsidRPr="00ED0DBA" w:rsidP="00ED0DBA">
            <w:pPr>
              <w:pStyle w:val="BodyText"/>
            </w:pPr>
            <w:r w:rsidRPr="00ED0DBA">
              <w:t>Gyroscopic orientator</w:t>
            </w:r>
          </w:p>
          <w:p w:rsidR="00000000" w:rsidRPr="00ED0DBA" w:rsidP="00ED0DBA">
            <w:pPr>
              <w:pStyle w:val="BodyText"/>
            </w:pPr>
            <w:r w:rsidRPr="00ED0DBA">
              <w:t>Hand held GPS receiver</w:t>
            </w:r>
          </w:p>
          <w:p w:rsidR="00000000" w:rsidRPr="00ED0DBA" w:rsidP="00ED0DBA">
            <w:pPr>
              <w:pStyle w:val="BodyText"/>
            </w:pPr>
            <w:r w:rsidRPr="00ED0DBA">
              <w:t>Manual distance measuring equipment</w:t>
            </w:r>
          </w:p>
          <w:p w:rsidR="00000000" w:rsidRPr="00ED0DBA" w:rsidP="00ED0DBA">
            <w:pPr>
              <w:pStyle w:val="BodyText"/>
            </w:pPr>
            <w:r w:rsidRPr="00ED0DBA">
              <w:t>Orienting equipment</w:t>
            </w:r>
          </w:p>
          <w:p w:rsidR="00000000" w:rsidRPr="00ED0DBA" w:rsidP="00ED0DBA">
            <w:pPr>
              <w:pStyle w:val="BodyText"/>
            </w:pPr>
            <w:r w:rsidRPr="00ED0DBA">
              <w:t>Station markers</w:t>
            </w:r>
          </w:p>
          <w:p w:rsidR="00000000" w:rsidRPr="00ED0DBA" w:rsidP="00ED0DBA">
            <w:pPr>
              <w:pStyle w:val="BodyText"/>
            </w:pPr>
            <w:r w:rsidRPr="00ED0DBA">
              <w:t>Theatre grid system</w:t>
            </w:r>
          </w:p>
          <w:p w:rsidR="00000000" w:rsidRPr="00ED0DBA" w:rsidP="00ED0DBA">
            <w:pPr>
              <w:pStyle w:val="BodyText"/>
            </w:pPr>
            <w:r w:rsidRPr="00ED0DBA">
              <w:t>Theodolite</w:t>
            </w:r>
          </w:p>
          <w:p w:rsidR="00000000" w:rsidP="00ED0DBA">
            <w:pPr>
              <w:pStyle w:val="BodyText"/>
              <w:rPr>
                <w:lang w:val="en-NZ"/>
              </w:rPr>
            </w:pPr>
            <w:r w:rsidRPr="00ED0DBA">
              <w:t>Total stations</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Survey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Distances</w:t>
            </w:r>
          </w:p>
          <w:p w:rsidR="00000000" w:rsidRPr="00ED0DBA" w:rsidP="00ED0DBA">
            <w:pPr>
              <w:pStyle w:val="BodyText"/>
            </w:pPr>
            <w:r w:rsidRPr="00ED0DBA">
              <w:t>Height differentials</w:t>
            </w:r>
          </w:p>
          <w:p w:rsidR="00000000" w:rsidRPr="00ED0DBA" w:rsidP="00ED0DBA">
            <w:pPr>
              <w:pStyle w:val="BodyText"/>
            </w:pPr>
            <w:r w:rsidRPr="00ED0DBA">
              <w:t>Initialisation data</w:t>
            </w:r>
          </w:p>
          <w:p w:rsidR="00000000" w:rsidRPr="00ED0DBA" w:rsidP="00ED0DBA">
            <w:pPr>
              <w:pStyle w:val="BodyText"/>
            </w:pPr>
            <w:r w:rsidRPr="00ED0DBA">
              <w:t xml:space="preserve">Inter-visibility </w:t>
            </w:r>
          </w:p>
          <w:p w:rsidR="00000000" w:rsidRPr="00ED0DBA" w:rsidP="00ED0DBA">
            <w:pPr>
              <w:pStyle w:val="BodyText"/>
            </w:pPr>
            <w:r w:rsidRPr="00ED0DBA">
              <w:t>Measurements</w:t>
            </w:r>
          </w:p>
          <w:p w:rsidR="00000000" w:rsidRPr="00ED0DBA" w:rsidP="00ED0DBA">
            <w:pPr>
              <w:pStyle w:val="BodyText"/>
            </w:pPr>
            <w:r w:rsidRPr="00ED0DBA">
              <w:t>Observations</w:t>
            </w:r>
          </w:p>
          <w:p w:rsidR="00000000" w:rsidRPr="00ED0DBA" w:rsidP="00ED0DBA">
            <w:pPr>
              <w:pStyle w:val="BodyText"/>
            </w:pPr>
            <w:r w:rsidRPr="00ED0DBA">
              <w:t>Target measurement</w:t>
            </w:r>
            <w:r w:rsidRPr="00ED0DBA">
              <w:t>s</w:t>
            </w:r>
          </w:p>
          <w:p w:rsidR="00000000" w:rsidP="00ED0DBA">
            <w:pPr>
              <w:pStyle w:val="BodyText"/>
              <w:rPr>
                <w:lang w:val="en-NZ"/>
              </w:rPr>
            </w:pPr>
            <w:r w:rsidRPr="00ED0DBA">
              <w:t xml:space="preserve">Templated and/or tabulated data </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Communicating survey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Digital formats</w:t>
            </w:r>
          </w:p>
          <w:p w:rsidR="00000000" w:rsidRPr="00ED0DBA" w:rsidP="00ED0DBA">
            <w:pPr>
              <w:pStyle w:val="BodyText"/>
            </w:pPr>
            <w:r w:rsidRPr="00ED0DBA">
              <w:t>Non-military networks</w:t>
            </w:r>
          </w:p>
          <w:p w:rsidR="00000000" w:rsidRPr="00ED0DBA" w:rsidP="00ED0DBA">
            <w:pPr>
              <w:pStyle w:val="BodyText"/>
            </w:pPr>
            <w:r w:rsidRPr="00ED0DBA">
              <w:t>Oral medium</w:t>
            </w:r>
          </w:p>
          <w:p w:rsidR="00000000" w:rsidRPr="00ED0DBA" w:rsidP="00ED0DBA">
            <w:pPr>
              <w:pStyle w:val="BodyText"/>
            </w:pPr>
            <w:r w:rsidRPr="00ED0DBA">
              <w:t>Radios</w:t>
            </w:r>
          </w:p>
          <w:p w:rsidR="00000000" w:rsidRPr="00ED0DBA" w:rsidP="00ED0DBA">
            <w:pPr>
              <w:pStyle w:val="BodyText"/>
            </w:pPr>
            <w:r w:rsidRPr="00ED0DBA">
              <w:t>Visual medium</w:t>
            </w:r>
          </w:p>
          <w:p w:rsidR="00000000" w:rsidP="00ED0DBA">
            <w:pPr>
              <w:pStyle w:val="BodyText"/>
              <w:rPr>
                <w:lang w:val="en-NZ"/>
              </w:rPr>
            </w:pPr>
            <w:r w:rsidRPr="00ED0DBA">
              <w:t>Written medium</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Australian Standards</w:t>
            </w:r>
          </w:p>
          <w:p w:rsidR="00000000" w:rsidRPr="00ED0DBA" w:rsidP="00ED0DBA">
            <w:pPr>
              <w:pStyle w:val="BodyText"/>
            </w:pPr>
            <w:r w:rsidRPr="00ED0DBA">
              <w:t>Job guides, doctrinal pamphlets and other publications</w:t>
            </w:r>
          </w:p>
          <w:p w:rsidR="00000000" w:rsidRPr="00ED0DBA" w:rsidP="00ED0DBA">
            <w:pPr>
              <w:pStyle w:val="BodyText"/>
            </w:pPr>
            <w:r w:rsidRPr="00ED0DBA">
              <w:t>Manufacturers' handbooks, industry specifications and technical instructions</w:t>
            </w:r>
          </w:p>
          <w:p w:rsidR="00000000" w:rsidRPr="00ED0DBA" w:rsidP="00ED0DBA">
            <w:pPr>
              <w:pStyle w:val="BodyText"/>
            </w:pPr>
            <w:r w:rsidRPr="00ED0DBA">
              <w:t>OH&amp;S regulations</w:t>
            </w:r>
          </w:p>
          <w:p w:rsidR="00000000" w:rsidRPr="00ED0DBA" w:rsidP="00ED0DBA">
            <w:pPr>
              <w:pStyle w:val="BodyText"/>
            </w:pPr>
            <w:r w:rsidRPr="00ED0DBA">
              <w:t>Organisational policies and procedures</w:t>
            </w:r>
          </w:p>
          <w:p w:rsidR="00000000" w:rsidRPr="00ED0DBA" w:rsidP="00ED0DBA">
            <w:pPr>
              <w:pStyle w:val="BodyText"/>
            </w:pPr>
            <w:r w:rsidRPr="00ED0DBA">
              <w:t>Relevant local government by-laws</w:t>
            </w:r>
          </w:p>
          <w:p w:rsidR="00000000" w:rsidRPr="00ED0DBA" w:rsidP="00ED0DBA">
            <w:pPr>
              <w:pStyle w:val="BodyText"/>
            </w:pPr>
            <w:r w:rsidRPr="00ED0DBA">
              <w:t>Relevant state/territory or federa</w:t>
            </w:r>
            <w:r w:rsidRPr="00ED0DBA">
              <w:t>l legislation</w:t>
            </w:r>
          </w:p>
          <w:p w:rsidR="00000000" w:rsidP="00ED0DBA">
            <w:pPr>
              <w:pStyle w:val="BodyText"/>
              <w:rPr>
                <w:lang w:val="en-NZ"/>
              </w:rPr>
            </w:pPr>
            <w:r w:rsidRPr="00ED0DBA">
              <w:t>Verbal or written orders and job instructions</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Survey control points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Bearing picquet</w:t>
            </w:r>
          </w:p>
          <w:p w:rsidR="00000000" w:rsidRPr="00ED0DBA" w:rsidP="00ED0DBA">
            <w:pPr>
              <w:pStyle w:val="BodyText"/>
            </w:pPr>
            <w:r w:rsidRPr="00ED0DBA">
              <w:t>Bench mark</w:t>
            </w:r>
          </w:p>
          <w:p w:rsidR="00000000" w:rsidRPr="00ED0DBA" w:rsidP="00ED0DBA">
            <w:pPr>
              <w:pStyle w:val="BodyText"/>
            </w:pPr>
            <w:r w:rsidRPr="00ED0DBA">
              <w:t>Calibration point</w:t>
            </w:r>
          </w:p>
          <w:p w:rsidR="00000000" w:rsidRPr="00ED0DBA" w:rsidP="00ED0DBA">
            <w:pPr>
              <w:pStyle w:val="BodyText"/>
            </w:pPr>
            <w:r w:rsidRPr="00ED0DBA">
              <w:t>Firing point</w:t>
            </w:r>
          </w:p>
          <w:p w:rsidR="00000000" w:rsidRPr="00ED0DBA" w:rsidP="00ED0DBA">
            <w:pPr>
              <w:pStyle w:val="BodyText"/>
            </w:pPr>
            <w:r w:rsidRPr="00ED0DBA">
              <w:t>Fixed picquet</w:t>
            </w:r>
          </w:p>
          <w:p w:rsidR="00000000" w:rsidRPr="00ED0DBA" w:rsidP="00ED0DBA">
            <w:pPr>
              <w:pStyle w:val="BodyText"/>
            </w:pPr>
            <w:r w:rsidRPr="00ED0DBA">
              <w:t>Point of change</w:t>
            </w:r>
          </w:p>
          <w:p w:rsidR="00000000" w:rsidRPr="00ED0DBA" w:rsidP="00ED0DBA">
            <w:pPr>
              <w:pStyle w:val="BodyText"/>
            </w:pPr>
            <w:r w:rsidRPr="00ED0DBA">
              <w:t>Survey control point</w:t>
            </w:r>
          </w:p>
          <w:p w:rsidR="00000000" w:rsidRPr="00ED0DBA" w:rsidP="00ED0DBA">
            <w:pPr>
              <w:pStyle w:val="BodyText"/>
            </w:pPr>
            <w:r w:rsidRPr="00ED0DBA">
              <w:t>Target</w:t>
            </w:r>
          </w:p>
          <w:p w:rsidR="00000000" w:rsidP="00ED0DBA">
            <w:pPr>
              <w:pStyle w:val="BodyText"/>
              <w:rPr>
                <w:lang w:val="en-NZ"/>
              </w:rPr>
            </w:pPr>
            <w:r w:rsidRPr="00ED0DBA">
              <w:t>Trigonometrical station</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D0DBA">
            <w:pPr>
              <w:pStyle w:val="BodyText"/>
              <w:rPr>
                <w:lang w:val="en-NZ"/>
              </w:rPr>
            </w:pPr>
            <w:r w:rsidRPr="00ED0DBA">
              <w:rPr>
                <w:rStyle w:val="SpecialBold"/>
              </w:rPr>
              <w:t>Maintaining survey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r w:rsidRPr="00ED0DBA">
              <w:t>Calibration</w:t>
            </w:r>
          </w:p>
          <w:p w:rsidR="00000000" w:rsidRPr="00ED0DBA" w:rsidP="00ED0DBA">
            <w:pPr>
              <w:pStyle w:val="BodyText"/>
            </w:pPr>
            <w:r w:rsidRPr="00ED0DBA">
              <w:t>Cleaning</w:t>
            </w:r>
          </w:p>
          <w:p w:rsidR="00000000" w:rsidRPr="00ED0DBA" w:rsidP="00ED0DBA">
            <w:pPr>
              <w:pStyle w:val="BodyText"/>
            </w:pPr>
            <w:r w:rsidRPr="00ED0DBA">
              <w:t>Functionality checks</w:t>
            </w:r>
          </w:p>
          <w:p w:rsidR="00000000" w:rsidRPr="00ED0DBA" w:rsidP="00ED0DBA">
            <w:pPr>
              <w:pStyle w:val="BodyText"/>
            </w:pPr>
            <w:r w:rsidRPr="00ED0DBA">
              <w:t xml:space="preserve">Lubricating </w:t>
            </w:r>
          </w:p>
          <w:p w:rsidR="00000000" w:rsidRPr="00ED0DBA" w:rsidP="00ED0DBA">
            <w:pPr>
              <w:pStyle w:val="BodyText"/>
            </w:pPr>
            <w:r w:rsidRPr="00ED0DBA">
              <w:t>Non-technical inspection</w:t>
            </w:r>
          </w:p>
          <w:p w:rsidR="00000000" w:rsidP="00ED0DBA">
            <w:pPr>
              <w:pStyle w:val="BodyText"/>
              <w:rPr>
                <w:lang w:val="en-NZ"/>
              </w:rPr>
            </w:pPr>
            <w:r w:rsidRPr="00ED0DBA">
              <w:t>Testing and adjusting</w:t>
            </w:r>
          </w:p>
        </w:tc>
      </w:tr>
      <w:tr w:rsidTr="000840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D0DBA" w:rsidP="00ED0DBA">
            <w:pPr>
              <w:pStyle w:val="BodyText"/>
            </w:pPr>
          </w:p>
        </w:tc>
      </w:tr>
    </w:tbl>
    <w:p w:rsidR="00000000" w:rsidRPr="00ED0DBA" w:rsidP="00ED0DBA">
      <w:pPr>
        <w:pStyle w:val="BodyText"/>
      </w:pPr>
    </w:p>
    <w:p w:rsidR="00000000" w:rsidRPr="00ED0DBA" w:rsidP="00ED0DBA">
      <w:pPr>
        <w:pStyle w:val="AllowPageBreak"/>
      </w:pPr>
    </w:p>
    <w:p w:rsidR="00000000" w:rsidRPr="00ED0DBA" w:rsidP="00ED0DBA">
      <w:pPr>
        <w:pStyle w:val="Heading1"/>
      </w:pPr>
      <w:bookmarkStart w:id="12" w:name="O_121598"/>
      <w:bookmarkEnd w:id="12"/>
      <w:r w:rsidRPr="00ED0DBA">
        <w:t>Unit Sector(s)</w:t>
      </w:r>
    </w:p>
    <w:p w:rsidR="00000000" w:rsidRPr="00ED0DBA" w:rsidP="00ED0DBA">
      <w:pPr>
        <w:pStyle w:val="BodyText"/>
      </w:pPr>
      <w:r w:rsidRPr="00ED0DBA">
        <w:t>Not applicable.</w:t>
      </w:r>
    </w:p>
    <w:p w:rsidR="00000000" w:rsidRPr="00ED0DBA" w:rsidP="00ED0DBA"/>
    <w:sectPr w:rsidSect="00ED0D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0DD" w:rsidP="00084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DD" w:rsidP="00ED0D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840DD" w:rsidP="00ED0D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840DD" w:rsidP="00ED0D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0DD" w:rsidP="000840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DD" w:rsidP="00ED0DBA">
    <w:pPr>
      <w:pStyle w:val="Header"/>
      <w:framePr w:wrap="around"/>
    </w:pPr>
    <w:r>
      <w:fldChar w:fldCharType="begin"/>
    </w:r>
    <w:r>
      <w:instrText xml:space="preserve"> TITLE   \* MERGEFORMAT </w:instrText>
    </w:r>
    <w:r>
      <w:fldChar w:fldCharType="separate"/>
    </w:r>
    <w:r>
      <w:t>PUADEFEO814A Provide survey data for proof and experimental 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40DD" w:rsidP="00ED0D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00AA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A208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D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0DBA"/>
    <w:pPr>
      <w:spacing w:before="360" w:after="60"/>
      <w:outlineLvl w:val="0"/>
    </w:pPr>
    <w:rPr>
      <w:sz w:val="32"/>
    </w:rPr>
  </w:style>
  <w:style w:type="paragraph" w:styleId="Heading2">
    <w:name w:val="heading 2"/>
    <w:basedOn w:val="HeadingBase"/>
    <w:next w:val="BodyText"/>
    <w:link w:val="Heading2Char"/>
    <w:qFormat/>
    <w:rsid w:val="00ED0DBA"/>
    <w:pPr>
      <w:keepLines/>
      <w:spacing w:before="240" w:after="120"/>
      <w:outlineLvl w:val="1"/>
    </w:pPr>
    <w:rPr>
      <w:sz w:val="28"/>
      <w:szCs w:val="40"/>
    </w:rPr>
  </w:style>
  <w:style w:type="paragraph" w:styleId="Heading3">
    <w:name w:val="heading 3"/>
    <w:basedOn w:val="HeadingBase"/>
    <w:next w:val="BodyText"/>
    <w:link w:val="Heading3Char"/>
    <w:qFormat/>
    <w:rsid w:val="00ED0DBA"/>
    <w:pPr>
      <w:spacing w:before="180" w:after="120"/>
      <w:outlineLvl w:val="2"/>
    </w:pPr>
    <w:rPr>
      <w:spacing w:val="-10"/>
      <w:kern w:val="32"/>
    </w:rPr>
  </w:style>
  <w:style w:type="paragraph" w:styleId="Heading4">
    <w:name w:val="heading 4"/>
    <w:basedOn w:val="HeadingBase"/>
    <w:next w:val="BodyText"/>
    <w:link w:val="Heading4Char"/>
    <w:qFormat/>
    <w:rsid w:val="00ED0DBA"/>
    <w:pPr>
      <w:spacing w:before="160" w:after="120"/>
      <w:outlineLvl w:val="3"/>
    </w:pPr>
    <w:rPr>
      <w:sz w:val="22"/>
    </w:rPr>
  </w:style>
  <w:style w:type="paragraph" w:styleId="Heading5">
    <w:name w:val="heading 5"/>
    <w:basedOn w:val="HeadingBase"/>
    <w:next w:val="Normal"/>
    <w:link w:val="Heading5Char"/>
    <w:qFormat/>
    <w:rsid w:val="00ED0DBA"/>
    <w:pPr>
      <w:spacing w:before="80"/>
      <w:outlineLvl w:val="4"/>
    </w:pPr>
    <w:rPr>
      <w:color w:val="918585"/>
      <w:sz w:val="20"/>
    </w:rPr>
  </w:style>
  <w:style w:type="paragraph" w:styleId="Heading6">
    <w:name w:val="heading 6"/>
    <w:basedOn w:val="HeadingBase"/>
    <w:next w:val="Normal"/>
    <w:link w:val="Heading6Char"/>
    <w:qFormat/>
    <w:rsid w:val="00ED0DBA"/>
    <w:pPr>
      <w:spacing w:before="60"/>
      <w:outlineLvl w:val="5"/>
    </w:pPr>
    <w:rPr>
      <w:color w:val="918585"/>
      <w:sz w:val="20"/>
    </w:rPr>
  </w:style>
  <w:style w:type="paragraph" w:styleId="Heading7">
    <w:name w:val="heading 7"/>
    <w:basedOn w:val="Normal"/>
    <w:next w:val="Normal"/>
    <w:link w:val="Heading7Char"/>
    <w:qFormat/>
    <w:rsid w:val="00ED0DBA"/>
    <w:pPr>
      <w:ind w:left="720"/>
      <w:outlineLvl w:val="6"/>
    </w:pPr>
    <w:rPr>
      <w:i/>
    </w:rPr>
  </w:style>
  <w:style w:type="paragraph" w:styleId="Heading8">
    <w:name w:val="heading 8"/>
    <w:basedOn w:val="Normal"/>
    <w:next w:val="Normal"/>
    <w:link w:val="Heading8Char"/>
    <w:qFormat/>
    <w:rsid w:val="00ED0DBA"/>
    <w:pPr>
      <w:ind w:left="720"/>
      <w:outlineLvl w:val="7"/>
    </w:pPr>
    <w:rPr>
      <w:i/>
    </w:rPr>
  </w:style>
  <w:style w:type="paragraph" w:styleId="Heading9">
    <w:name w:val="heading 9"/>
    <w:basedOn w:val="Normal"/>
    <w:next w:val="Normal"/>
    <w:link w:val="Heading9Char"/>
    <w:qFormat/>
    <w:rsid w:val="00ED0DBA"/>
    <w:pPr>
      <w:ind w:left="720"/>
      <w:outlineLvl w:val="8"/>
    </w:pPr>
    <w:rPr>
      <w:i/>
    </w:rPr>
  </w:style>
  <w:style w:type="character" w:default="1" w:styleId="DefaultParagraphFont">
    <w:name w:val="Default Paragraph Font"/>
    <w:uiPriority w:val="1"/>
    <w:unhideWhenUsed/>
    <w:rsid w:val="00ED0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DBA"/>
  </w:style>
  <w:style w:type="character" w:customStyle="1" w:styleId="Heading1Char">
    <w:name w:val="Heading 1 Char"/>
    <w:basedOn w:val="DefaultParagraphFont"/>
    <w:link w:val="Heading1"/>
    <w:rsid w:val="00ED0DBA"/>
    <w:rPr>
      <w:rFonts w:ascii="Times New Roman" w:eastAsia="Times New Roman" w:hAnsi="Times New Roman" w:cs="Times New Roman"/>
      <w:b/>
      <w:sz w:val="32"/>
      <w:szCs w:val="20"/>
      <w:lang w:eastAsia="en-US"/>
    </w:rPr>
  </w:style>
  <w:style w:type="paragraph" w:styleId="BodyText">
    <w:name w:val="Body Text"/>
    <w:basedOn w:val="Normal"/>
    <w:link w:val="BodyTextChar"/>
    <w:rsid w:val="00ED0D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0DBA"/>
    <w:rPr>
      <w:rFonts w:ascii="Times New Roman" w:eastAsia="Times New Roman" w:hAnsi="Times New Roman" w:cs="Times New Roman"/>
      <w:sz w:val="24"/>
      <w:lang w:val="en-US" w:eastAsia="en-US"/>
    </w:rPr>
  </w:style>
  <w:style w:type="paragraph" w:styleId="Footer">
    <w:name w:val="footer"/>
    <w:basedOn w:val="Normal"/>
    <w:link w:val="FooterChar"/>
    <w:rsid w:val="00ED0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DBA"/>
    <w:rPr>
      <w:rFonts w:ascii="Times New Roman" w:eastAsia="Times New Roman" w:hAnsi="Times New Roman" w:cs="Times New Roman"/>
      <w:sz w:val="16"/>
      <w:lang w:val="en-US" w:eastAsia="en-US"/>
    </w:rPr>
  </w:style>
  <w:style w:type="paragraph" w:styleId="List">
    <w:name w:val="List"/>
    <w:basedOn w:val="BodyText"/>
    <w:next w:val="BodyText"/>
    <w:rsid w:val="00ED0DBA"/>
    <w:pPr>
      <w:tabs>
        <w:tab w:val="left" w:pos="340"/>
      </w:tabs>
      <w:spacing w:before="60" w:after="60"/>
      <w:ind w:left="340" w:hanging="340"/>
    </w:pPr>
  </w:style>
  <w:style w:type="paragraph" w:styleId="ListBullet">
    <w:name w:val="List Bullet"/>
    <w:basedOn w:val="List"/>
    <w:rsid w:val="00ED0DBA"/>
    <w:pPr>
      <w:numPr>
        <w:numId w:val="12"/>
      </w:numPr>
      <w:tabs>
        <w:tab w:val="clear" w:pos="340"/>
      </w:tabs>
      <w:spacing w:before="40" w:after="40"/>
    </w:pPr>
  </w:style>
  <w:style w:type="character" w:customStyle="1" w:styleId="SpecialBold">
    <w:name w:val="Special Bold"/>
    <w:basedOn w:val="DefaultParagraphFont"/>
    <w:rsid w:val="00ED0DBA"/>
    <w:rPr>
      <w:b/>
      <w:spacing w:val="0"/>
    </w:rPr>
  </w:style>
  <w:style w:type="paragraph" w:styleId="Header">
    <w:name w:val="header"/>
    <w:basedOn w:val="Normal"/>
    <w:link w:val="HeaderChar"/>
    <w:rsid w:val="00ED0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D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0DBA"/>
    <w:pPr>
      <w:spacing w:before="240" w:after="120"/>
      <w:outlineLvl w:val="0"/>
    </w:pPr>
    <w:rPr>
      <w:rFonts w:ascii="Times New Roman" w:hAnsi="Times New Roman"/>
      <w:b/>
      <w:sz w:val="28"/>
    </w:rPr>
  </w:style>
  <w:style w:type="paragraph" w:customStyle="1" w:styleId="AllowPageBreak">
    <w:name w:val="AllowPageBreak"/>
    <w:rsid w:val="00ED0D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0DBA"/>
    <w:pPr>
      <w:tabs>
        <w:tab w:val="left" w:pos="680"/>
      </w:tabs>
      <w:spacing w:before="60" w:after="60"/>
      <w:ind w:left="680" w:hanging="340"/>
    </w:pPr>
  </w:style>
  <w:style w:type="character" w:customStyle="1" w:styleId="BoldandItalics">
    <w:name w:val="Bold and Italics"/>
    <w:qFormat/>
    <w:rsid w:val="00ED0DBA"/>
    <w:rPr>
      <w:b/>
      <w:i/>
      <w:u w:val="none"/>
    </w:rPr>
  </w:style>
  <w:style w:type="character" w:customStyle="1" w:styleId="Heading2Char">
    <w:name w:val="Heading 2 Char"/>
    <w:basedOn w:val="DefaultParagraphFont"/>
    <w:link w:val="Heading2"/>
    <w:rsid w:val="00ED0D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D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D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D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D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0D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0DBA"/>
    <w:rPr>
      <w:rFonts w:ascii="Courier New" w:eastAsia="Times New Roman" w:hAnsi="Courier New" w:cs="Times New Roman"/>
      <w:i/>
      <w:szCs w:val="20"/>
      <w:lang w:val="en-US" w:eastAsia="en-US"/>
    </w:rPr>
  </w:style>
  <w:style w:type="paragraph" w:customStyle="1" w:styleId="HeadingBase">
    <w:name w:val="Heading Base"/>
    <w:rsid w:val="00ED0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DBA"/>
    <w:pPr>
      <w:tabs>
        <w:tab w:val="right" w:leader="dot" w:pos="9072"/>
      </w:tabs>
      <w:ind w:left="567"/>
    </w:pPr>
    <w:rPr>
      <w:szCs w:val="22"/>
    </w:rPr>
  </w:style>
  <w:style w:type="paragraph" w:customStyle="1" w:styleId="TOCBase">
    <w:name w:val="TOC Base"/>
    <w:rsid w:val="00ED0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DBA"/>
    <w:pPr>
      <w:tabs>
        <w:tab w:val="right" w:leader="dot" w:pos="9072"/>
      </w:tabs>
      <w:spacing w:before="40" w:after="40"/>
      <w:ind w:left="284"/>
    </w:pPr>
    <w:rPr>
      <w:rFonts w:ascii="Times New Roman" w:hAnsi="Times New Roman"/>
    </w:rPr>
  </w:style>
  <w:style w:type="paragraph" w:styleId="TOC1">
    <w:name w:val="toc 1"/>
    <w:basedOn w:val="TOCBase"/>
    <w:next w:val="Normal"/>
    <w:rsid w:val="00ED0D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0DBA"/>
    <w:pPr>
      <w:spacing w:before="5040"/>
      <w:jc w:val="center"/>
    </w:pPr>
    <w:rPr>
      <w:sz w:val="48"/>
      <w:szCs w:val="72"/>
      <w:lang w:val="en-US"/>
    </w:rPr>
  </w:style>
  <w:style w:type="character" w:customStyle="1" w:styleId="TitleChar">
    <w:name w:val="Title Char"/>
    <w:basedOn w:val="DefaultParagraphFont"/>
    <w:link w:val="Title"/>
    <w:rsid w:val="00ED0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DBA"/>
    <w:pPr>
      <w:tabs>
        <w:tab w:val="left" w:pos="3600"/>
        <w:tab w:val="left" w:pos="3958"/>
      </w:tabs>
    </w:pPr>
  </w:style>
  <w:style w:type="paragraph" w:customStyle="1" w:styleId="Note">
    <w:name w:val="Note"/>
    <w:basedOn w:val="BodyText"/>
    <w:rsid w:val="00ED0D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DBA"/>
    <w:pPr>
      <w:framePr w:wrap="auto" w:hAnchor="text" w:y="6049"/>
    </w:pPr>
    <w:rPr>
      <w:color w:val="000000"/>
      <w:sz w:val="40"/>
    </w:rPr>
  </w:style>
  <w:style w:type="paragraph" w:customStyle="1" w:styleId="TOCTitle">
    <w:name w:val="TOCTitle"/>
    <w:basedOn w:val="Heading1"/>
    <w:rsid w:val="00ED0DBA"/>
    <w:pPr>
      <w:spacing w:after="240"/>
      <w:jc w:val="center"/>
      <w:outlineLvl w:val="9"/>
    </w:pPr>
    <w:rPr>
      <w:caps/>
    </w:rPr>
  </w:style>
  <w:style w:type="paragraph" w:customStyle="1" w:styleId="Version">
    <w:name w:val="Version"/>
    <w:rsid w:val="00ED0D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DBA"/>
    <w:pPr>
      <w:numPr>
        <w:numId w:val="13"/>
      </w:numPr>
      <w:tabs>
        <w:tab w:val="clear" w:pos="680"/>
      </w:tabs>
    </w:pPr>
  </w:style>
  <w:style w:type="paragraph" w:styleId="Index1">
    <w:name w:val="index 1"/>
    <w:basedOn w:val="Normal"/>
    <w:next w:val="Normal"/>
    <w:semiHidden/>
    <w:rsid w:val="00ED0DBA"/>
    <w:pPr>
      <w:keepNext w:val="0"/>
      <w:tabs>
        <w:tab w:val="right" w:pos="4176"/>
      </w:tabs>
      <w:ind w:left="198" w:hanging="198"/>
    </w:pPr>
    <w:rPr>
      <w:rFonts w:ascii="Garamond" w:hAnsi="Garamond"/>
    </w:rPr>
  </w:style>
  <w:style w:type="paragraph" w:styleId="IndexHeading">
    <w:name w:val="index heading"/>
    <w:basedOn w:val="Normal"/>
    <w:next w:val="Index1"/>
    <w:semiHidden/>
    <w:rsid w:val="00ED0DBA"/>
    <w:pPr>
      <w:spacing w:before="120" w:after="120"/>
    </w:pPr>
    <w:rPr>
      <w:rFonts w:ascii="Arial" w:hAnsi="Arial"/>
      <w:b/>
      <w:color w:val="918585"/>
      <w:sz w:val="24"/>
    </w:rPr>
  </w:style>
  <w:style w:type="paragraph" w:customStyle="1" w:styleId="Chapter">
    <w:name w:val="Chapter"/>
    <w:basedOn w:val="Normal"/>
    <w:rsid w:val="00ED0DBA"/>
    <w:pPr>
      <w:spacing w:before="240"/>
    </w:pPr>
    <w:rPr>
      <w:rFonts w:ascii="Times New Roman" w:hAnsi="Times New Roman"/>
      <w:smallCaps/>
      <w:spacing w:val="80"/>
      <w:sz w:val="28"/>
    </w:rPr>
  </w:style>
  <w:style w:type="paragraph" w:customStyle="1" w:styleId="InChapter">
    <w:name w:val="InChapter"/>
    <w:basedOn w:val="Heading3"/>
    <w:rsid w:val="00ED0DBA"/>
    <w:pPr>
      <w:spacing w:after="240"/>
      <w:outlineLvl w:val="9"/>
    </w:pPr>
    <w:rPr>
      <w:noProof/>
    </w:rPr>
  </w:style>
  <w:style w:type="paragraph" w:styleId="Index2">
    <w:name w:val="index 2"/>
    <w:basedOn w:val="Normal"/>
    <w:next w:val="Normal"/>
    <w:semiHidden/>
    <w:rsid w:val="00ED0DBA"/>
    <w:pPr>
      <w:tabs>
        <w:tab w:val="right" w:pos="4176"/>
      </w:tabs>
      <w:ind w:left="568" w:hanging="284"/>
    </w:pPr>
    <w:rPr>
      <w:rFonts w:ascii="Garamond" w:hAnsi="Garamond"/>
    </w:rPr>
  </w:style>
  <w:style w:type="paragraph" w:customStyle="1" w:styleId="Byline">
    <w:name w:val="Byline"/>
    <w:rsid w:val="00ED0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DBA"/>
    <w:pPr>
      <w:tabs>
        <w:tab w:val="clear" w:pos="3600"/>
        <w:tab w:val="clear" w:pos="3958"/>
      </w:tabs>
      <w:jc w:val="right"/>
    </w:pPr>
  </w:style>
  <w:style w:type="character" w:styleId="Emphasis">
    <w:name w:val="Emphasis"/>
    <w:basedOn w:val="DefaultParagraphFont"/>
    <w:qFormat/>
    <w:rsid w:val="00ED0DBA"/>
    <w:rPr>
      <w:i/>
    </w:rPr>
  </w:style>
  <w:style w:type="paragraph" w:styleId="Caption">
    <w:name w:val="caption"/>
    <w:basedOn w:val="BodyText"/>
    <w:next w:val="Normal"/>
    <w:qFormat/>
    <w:rsid w:val="00ED0DBA"/>
    <w:pPr>
      <w:framePr w:w="2268" w:hSpace="181" w:vSpace="181" w:wrap="around" w:vAnchor="text" w:hAnchor="page" w:x="1135" w:y="285" w:anchorLock="1"/>
    </w:pPr>
    <w:rPr>
      <w:i/>
    </w:rPr>
  </w:style>
  <w:style w:type="paragraph" w:customStyle="1" w:styleId="MiniTOCTitle">
    <w:name w:val="MiniTOCTitle"/>
    <w:basedOn w:val="Heading4"/>
    <w:rsid w:val="00ED0DBA"/>
    <w:pPr>
      <w:spacing w:before="240"/>
      <w:outlineLvl w:val="9"/>
    </w:pPr>
    <w:rPr>
      <w:noProof/>
      <w:sz w:val="24"/>
    </w:rPr>
  </w:style>
  <w:style w:type="paragraph" w:customStyle="1" w:styleId="MiniTOCItem">
    <w:name w:val="MiniTOCItem"/>
    <w:basedOn w:val="ListBullet"/>
    <w:rsid w:val="00ED0DBA"/>
    <w:pPr>
      <w:numPr>
        <w:numId w:val="0"/>
      </w:numPr>
      <w:tabs>
        <w:tab w:val="right" w:leader="dot" w:pos="6521"/>
      </w:tabs>
      <w:spacing w:before="0" w:after="0"/>
    </w:pPr>
  </w:style>
  <w:style w:type="paragraph" w:customStyle="1" w:styleId="TOFTitle">
    <w:name w:val="TOFTitle"/>
    <w:basedOn w:val="TOCTitle"/>
    <w:rsid w:val="00ED0DBA"/>
  </w:style>
  <w:style w:type="paragraph" w:styleId="TableofFigures">
    <w:name w:val="table of figures"/>
    <w:basedOn w:val="Normal"/>
    <w:next w:val="Normal"/>
    <w:semiHidden/>
    <w:rsid w:val="00ED0DBA"/>
    <w:pPr>
      <w:tabs>
        <w:tab w:val="right" w:leader="dot" w:pos="9072"/>
      </w:tabs>
      <w:ind w:left="970" w:hanging="403"/>
    </w:pPr>
    <w:rPr>
      <w:rFonts w:ascii="Times New Roman" w:hAnsi="Times New Roman"/>
      <w:b/>
    </w:rPr>
  </w:style>
  <w:style w:type="paragraph" w:styleId="ListNumber">
    <w:name w:val="List Number"/>
    <w:basedOn w:val="List"/>
    <w:rsid w:val="00ED0DBA"/>
    <w:pPr>
      <w:numPr>
        <w:numId w:val="10"/>
      </w:numPr>
    </w:pPr>
  </w:style>
  <w:style w:type="character" w:customStyle="1" w:styleId="WingdingSymbols">
    <w:name w:val="Wingding Symbols"/>
    <w:rsid w:val="00ED0DBA"/>
    <w:rPr>
      <w:rFonts w:ascii="Wingdings" w:hAnsi="Wingdings"/>
    </w:rPr>
  </w:style>
  <w:style w:type="paragraph" w:customStyle="1" w:styleId="TableHeading">
    <w:name w:val="Table Heading"/>
    <w:basedOn w:val="HeadingBase"/>
    <w:rsid w:val="00ED0DBA"/>
    <w:pPr>
      <w:keepLines/>
      <w:pBdr>
        <w:bottom w:val="single" w:sz="6" w:space="1" w:color="918585"/>
      </w:pBdr>
      <w:spacing w:before="240"/>
    </w:pPr>
  </w:style>
  <w:style w:type="character" w:customStyle="1" w:styleId="HotSpot">
    <w:name w:val="HotSpot"/>
    <w:rsid w:val="00ED0DBA"/>
    <w:rPr>
      <w:color w:val="0033CC"/>
      <w:u w:val="none"/>
    </w:rPr>
  </w:style>
  <w:style w:type="paragraph" w:customStyle="1" w:styleId="BodyTextRight">
    <w:name w:val="Body Text Right"/>
    <w:basedOn w:val="BodyText"/>
    <w:rsid w:val="00ED0DBA"/>
    <w:pPr>
      <w:spacing w:before="0" w:after="0"/>
      <w:jc w:val="right"/>
    </w:pPr>
  </w:style>
  <w:style w:type="paragraph" w:styleId="Index3">
    <w:name w:val="index 3"/>
    <w:basedOn w:val="ListNumber2"/>
    <w:next w:val="Normal"/>
    <w:semiHidden/>
    <w:rsid w:val="00ED0DBA"/>
    <w:pPr>
      <w:numPr>
        <w:numId w:val="0"/>
      </w:numPr>
      <w:tabs>
        <w:tab w:val="right" w:leader="dot" w:pos="4176"/>
      </w:tabs>
    </w:pPr>
  </w:style>
  <w:style w:type="paragraph" w:styleId="ListNumber2">
    <w:name w:val="List Number 2"/>
    <w:basedOn w:val="List2"/>
    <w:rsid w:val="00ED0DBA"/>
    <w:pPr>
      <w:numPr>
        <w:numId w:val="9"/>
      </w:numPr>
      <w:tabs>
        <w:tab w:val="clear" w:pos="1060"/>
      </w:tabs>
    </w:pPr>
  </w:style>
  <w:style w:type="paragraph" w:customStyle="1" w:styleId="MarginNote">
    <w:name w:val="Margin Note"/>
    <w:basedOn w:val="BodyText"/>
    <w:rsid w:val="00ED0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D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0DBA"/>
    <w:rPr>
      <w:sz w:val="32"/>
    </w:rPr>
  </w:style>
  <w:style w:type="paragraph" w:customStyle="1" w:styleId="HeadingProcedure">
    <w:name w:val="Heading Procedure"/>
    <w:basedOn w:val="HeadingBase"/>
    <w:next w:val="Normal"/>
    <w:rsid w:val="00ED0DBA"/>
    <w:pPr>
      <w:tabs>
        <w:tab w:val="left" w:pos="0"/>
      </w:tabs>
      <w:spacing w:before="120" w:after="60"/>
    </w:pPr>
    <w:rPr>
      <w:i/>
      <w:color w:val="918585"/>
      <w:sz w:val="22"/>
    </w:rPr>
  </w:style>
  <w:style w:type="paragraph" w:customStyle="1" w:styleId="TableBodyText">
    <w:name w:val="Table Body Text"/>
    <w:basedOn w:val="BodyText"/>
    <w:rsid w:val="00ED0DBA"/>
    <w:pPr>
      <w:spacing w:before="60" w:after="60"/>
    </w:pPr>
  </w:style>
  <w:style w:type="paragraph" w:styleId="ListContinue">
    <w:name w:val="List Continue"/>
    <w:basedOn w:val="List"/>
    <w:rsid w:val="00ED0DBA"/>
    <w:pPr>
      <w:ind w:firstLine="0"/>
    </w:pPr>
  </w:style>
  <w:style w:type="paragraph" w:customStyle="1" w:styleId="ListNote">
    <w:name w:val="List Note"/>
    <w:basedOn w:val="List"/>
    <w:rsid w:val="00ED0DBA"/>
    <w:pPr>
      <w:pBdr>
        <w:top w:val="single" w:sz="6" w:space="2" w:color="918585"/>
        <w:bottom w:val="single" w:sz="6" w:space="2" w:color="918585"/>
      </w:pBdr>
      <w:tabs>
        <w:tab w:val="left" w:pos="1021"/>
      </w:tabs>
      <w:ind w:firstLine="0"/>
    </w:pPr>
  </w:style>
  <w:style w:type="paragraph" w:customStyle="1" w:styleId="Warning">
    <w:name w:val="Warning"/>
    <w:basedOn w:val="BodyText"/>
    <w:rsid w:val="00ED0DBA"/>
    <w:pPr>
      <w:shd w:val="clear" w:color="auto" w:fill="D9D9D9"/>
      <w:tabs>
        <w:tab w:val="left" w:pos="992"/>
      </w:tabs>
      <w:ind w:left="119" w:right="119"/>
    </w:pPr>
    <w:rPr>
      <w:sz w:val="20"/>
    </w:rPr>
  </w:style>
  <w:style w:type="paragraph" w:customStyle="1" w:styleId="MarginIcons">
    <w:name w:val="Margin Icons"/>
    <w:basedOn w:val="BodyText"/>
    <w:rsid w:val="00ED0D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DBA"/>
    <w:rPr>
      <w:rFonts w:ascii="Courier New" w:hAnsi="Courier New"/>
    </w:rPr>
  </w:style>
  <w:style w:type="paragraph" w:customStyle="1" w:styleId="NoteBullet">
    <w:name w:val="Note Bullet"/>
    <w:basedOn w:val="Note"/>
    <w:rsid w:val="00ED0DBA"/>
    <w:pPr>
      <w:tabs>
        <w:tab w:val="clear" w:pos="680"/>
      </w:tabs>
      <w:spacing w:before="60" w:after="60"/>
    </w:pPr>
  </w:style>
  <w:style w:type="paragraph" w:customStyle="1" w:styleId="SubHeading2">
    <w:name w:val="SubHeading2"/>
    <w:basedOn w:val="HeadingBase"/>
    <w:rsid w:val="00ED0DBA"/>
    <w:pPr>
      <w:spacing w:before="240" w:after="60"/>
    </w:pPr>
    <w:rPr>
      <w:sz w:val="20"/>
    </w:rPr>
  </w:style>
  <w:style w:type="paragraph" w:customStyle="1" w:styleId="SubHeading1">
    <w:name w:val="SubHeading1"/>
    <w:basedOn w:val="HeadingBase"/>
    <w:rsid w:val="00ED0DBA"/>
    <w:pPr>
      <w:spacing w:before="240" w:after="60"/>
    </w:pPr>
    <w:rPr>
      <w:color w:val="918585"/>
      <w:sz w:val="22"/>
    </w:rPr>
  </w:style>
  <w:style w:type="paragraph" w:customStyle="1" w:styleId="SideHeading">
    <w:name w:val="Side Heading"/>
    <w:basedOn w:val="HeadingBase"/>
    <w:rsid w:val="00ED0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DBA"/>
    <w:pPr>
      <w:tabs>
        <w:tab w:val="num" w:pos="360"/>
      </w:tabs>
    </w:pPr>
  </w:style>
  <w:style w:type="paragraph" w:styleId="PlainText">
    <w:name w:val="Plain Text"/>
    <w:basedOn w:val="Normal"/>
    <w:link w:val="PlainTextChar"/>
    <w:rsid w:val="00ED0DBA"/>
    <w:rPr>
      <w:sz w:val="20"/>
    </w:rPr>
  </w:style>
  <w:style w:type="character" w:customStyle="1" w:styleId="PlainTextChar">
    <w:name w:val="Plain Text Char"/>
    <w:basedOn w:val="DefaultParagraphFont"/>
    <w:link w:val="PlainText"/>
    <w:rsid w:val="00ED0D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0DBA"/>
    <w:rPr>
      <w:b/>
      <w:smallCaps/>
    </w:rPr>
  </w:style>
  <w:style w:type="paragraph" w:customStyle="1" w:styleId="TableListNumber">
    <w:name w:val="Table List Number"/>
    <w:basedOn w:val="ListNumber"/>
    <w:rsid w:val="00ED0DBA"/>
    <w:pPr>
      <w:numPr>
        <w:numId w:val="0"/>
      </w:numPr>
    </w:pPr>
  </w:style>
  <w:style w:type="paragraph" w:styleId="TOC4">
    <w:name w:val="toc 4"/>
    <w:basedOn w:val="TOCBase"/>
    <w:next w:val="Normal"/>
    <w:semiHidden/>
    <w:rsid w:val="00ED0DBA"/>
    <w:pPr>
      <w:tabs>
        <w:tab w:val="right" w:leader="dot" w:pos="9071"/>
      </w:tabs>
      <w:ind w:left="1701"/>
    </w:pPr>
  </w:style>
  <w:style w:type="paragraph" w:customStyle="1" w:styleId="ListAlpha">
    <w:name w:val="List Alpha"/>
    <w:basedOn w:val="List"/>
    <w:rsid w:val="00ED0DBA"/>
    <w:pPr>
      <w:numPr>
        <w:numId w:val="8"/>
      </w:numPr>
    </w:pPr>
  </w:style>
  <w:style w:type="paragraph" w:customStyle="1" w:styleId="ListAlpha2">
    <w:name w:val="List Alpha 2"/>
    <w:basedOn w:val="List2"/>
    <w:rsid w:val="00ED0DBA"/>
    <w:pPr>
      <w:numPr>
        <w:numId w:val="7"/>
      </w:numPr>
    </w:pPr>
  </w:style>
  <w:style w:type="paragraph" w:styleId="List3">
    <w:name w:val="List 3"/>
    <w:basedOn w:val="BodyText"/>
    <w:rsid w:val="00ED0DBA"/>
    <w:pPr>
      <w:tabs>
        <w:tab w:val="left" w:pos="1021"/>
      </w:tabs>
      <w:spacing w:before="60" w:after="60"/>
      <w:ind w:left="1020" w:hanging="340"/>
    </w:pPr>
  </w:style>
  <w:style w:type="paragraph" w:styleId="List4">
    <w:name w:val="List 4"/>
    <w:basedOn w:val="BodyText"/>
    <w:rsid w:val="00ED0DBA"/>
    <w:pPr>
      <w:tabs>
        <w:tab w:val="left" w:pos="1361"/>
      </w:tabs>
      <w:spacing w:before="60" w:after="60"/>
      <w:ind w:left="1361" w:hanging="340"/>
    </w:pPr>
  </w:style>
  <w:style w:type="paragraph" w:styleId="List5">
    <w:name w:val="List 5"/>
    <w:basedOn w:val="BodyText"/>
    <w:rsid w:val="00ED0DBA"/>
    <w:pPr>
      <w:tabs>
        <w:tab w:val="left" w:pos="1701"/>
      </w:tabs>
      <w:spacing w:before="60" w:after="60"/>
      <w:ind w:left="1701" w:hanging="340"/>
    </w:pPr>
  </w:style>
  <w:style w:type="paragraph" w:styleId="ListBullet3">
    <w:name w:val="List Bullet 3"/>
    <w:basedOn w:val="List3"/>
    <w:rsid w:val="00ED0DBA"/>
    <w:pPr>
      <w:numPr>
        <w:numId w:val="14"/>
      </w:numPr>
      <w:tabs>
        <w:tab w:val="clear" w:pos="1021"/>
      </w:tabs>
      <w:ind w:left="1037" w:hanging="357"/>
    </w:pPr>
  </w:style>
  <w:style w:type="paragraph" w:styleId="ListBullet4">
    <w:name w:val="List Bullet 4"/>
    <w:basedOn w:val="List4"/>
    <w:rsid w:val="00ED0DBA"/>
    <w:pPr>
      <w:numPr>
        <w:numId w:val="2"/>
      </w:numPr>
    </w:pPr>
  </w:style>
  <w:style w:type="paragraph" w:styleId="ListBullet5">
    <w:name w:val="List Bullet 5"/>
    <w:basedOn w:val="List5"/>
    <w:rsid w:val="00ED0DBA"/>
    <w:pPr>
      <w:numPr>
        <w:numId w:val="3"/>
      </w:numPr>
    </w:pPr>
  </w:style>
  <w:style w:type="paragraph" w:styleId="ListContinue2">
    <w:name w:val="List Continue 2"/>
    <w:basedOn w:val="List2"/>
    <w:rsid w:val="00ED0DBA"/>
    <w:pPr>
      <w:ind w:firstLine="0"/>
    </w:pPr>
  </w:style>
  <w:style w:type="paragraph" w:styleId="ListContinue3">
    <w:name w:val="List Continue 3"/>
    <w:basedOn w:val="List3"/>
    <w:rsid w:val="00ED0DBA"/>
    <w:pPr>
      <w:ind w:left="1021" w:firstLine="0"/>
    </w:pPr>
  </w:style>
  <w:style w:type="paragraph" w:styleId="ListContinue4">
    <w:name w:val="List Continue 4"/>
    <w:basedOn w:val="List4"/>
    <w:rsid w:val="00ED0DBA"/>
    <w:pPr>
      <w:ind w:firstLine="0"/>
    </w:pPr>
  </w:style>
  <w:style w:type="paragraph" w:styleId="ListContinue5">
    <w:name w:val="List Continue 5"/>
    <w:basedOn w:val="List5"/>
    <w:rsid w:val="00ED0DBA"/>
    <w:pPr>
      <w:ind w:firstLine="0"/>
    </w:pPr>
  </w:style>
  <w:style w:type="paragraph" w:styleId="ListNumber3">
    <w:name w:val="List Number 3"/>
    <w:basedOn w:val="List3"/>
    <w:rsid w:val="00ED0DBA"/>
    <w:pPr>
      <w:numPr>
        <w:numId w:val="4"/>
      </w:numPr>
    </w:pPr>
  </w:style>
  <w:style w:type="paragraph" w:styleId="ListNumber4">
    <w:name w:val="List Number 4"/>
    <w:basedOn w:val="List4"/>
    <w:rsid w:val="00ED0DBA"/>
    <w:pPr>
      <w:numPr>
        <w:numId w:val="5"/>
      </w:numPr>
    </w:pPr>
  </w:style>
  <w:style w:type="paragraph" w:styleId="ListNumber5">
    <w:name w:val="List Number 5"/>
    <w:basedOn w:val="List5"/>
    <w:rsid w:val="00ED0DBA"/>
    <w:pPr>
      <w:numPr>
        <w:numId w:val="6"/>
      </w:numPr>
    </w:pPr>
  </w:style>
  <w:style w:type="paragraph" w:styleId="BlockText">
    <w:name w:val="Block Text"/>
    <w:basedOn w:val="Normal"/>
    <w:rsid w:val="00ED0DBA"/>
    <w:pPr>
      <w:spacing w:after="120"/>
      <w:ind w:left="1440" w:right="1440"/>
    </w:pPr>
  </w:style>
  <w:style w:type="character" w:customStyle="1" w:styleId="Subscript">
    <w:name w:val="Subscript"/>
    <w:basedOn w:val="DefaultParagraphFont"/>
    <w:rsid w:val="00ED0DBA"/>
    <w:rPr>
      <w:sz w:val="16"/>
      <w:vertAlign w:val="subscript"/>
    </w:rPr>
  </w:style>
  <w:style w:type="character" w:customStyle="1" w:styleId="Superscript">
    <w:name w:val="Superscript"/>
    <w:basedOn w:val="DefaultParagraphFont"/>
    <w:rsid w:val="00ED0DBA"/>
    <w:rPr>
      <w:sz w:val="16"/>
      <w:vertAlign w:val="superscript"/>
    </w:rPr>
  </w:style>
  <w:style w:type="character" w:customStyle="1" w:styleId="Symbols">
    <w:name w:val="Symbols"/>
    <w:basedOn w:val="DefaultParagraphFont"/>
    <w:rsid w:val="00ED0DBA"/>
    <w:rPr>
      <w:rFonts w:ascii="Symbol" w:hAnsi="Symbol"/>
    </w:rPr>
  </w:style>
  <w:style w:type="character" w:customStyle="1" w:styleId="MenuOptions">
    <w:name w:val="Menu Options"/>
    <w:basedOn w:val="DefaultParagraphFont"/>
    <w:rsid w:val="00ED0DBA"/>
    <w:rPr>
      <w:rFonts w:ascii="Arial Narrow" w:hAnsi="Arial Narrow"/>
      <w:smallCaps/>
    </w:rPr>
  </w:style>
  <w:style w:type="character" w:customStyle="1" w:styleId="Buttons">
    <w:name w:val="Buttons"/>
    <w:basedOn w:val="DefaultParagraphFont"/>
    <w:rsid w:val="00ED0DBA"/>
    <w:rPr>
      <w:b/>
    </w:rPr>
  </w:style>
  <w:style w:type="character" w:customStyle="1" w:styleId="Underlined">
    <w:name w:val="Underlined"/>
    <w:basedOn w:val="DefaultParagraphFont"/>
    <w:rsid w:val="00ED0DBA"/>
    <w:rPr>
      <w:u w:val="single"/>
    </w:rPr>
  </w:style>
  <w:style w:type="paragraph" w:customStyle="1" w:styleId="TableBodyTextRight">
    <w:name w:val="Table Body Text Right"/>
    <w:basedOn w:val="TableBodyText"/>
    <w:rsid w:val="00ED0DBA"/>
    <w:pPr>
      <w:widowControl w:val="0"/>
      <w:autoSpaceDE w:val="0"/>
      <w:autoSpaceDN w:val="0"/>
      <w:adjustRightInd w:val="0"/>
      <w:jc w:val="right"/>
    </w:pPr>
    <w:rPr>
      <w:rFonts w:cs="Arial"/>
      <w:szCs w:val="18"/>
    </w:rPr>
  </w:style>
  <w:style w:type="paragraph" w:customStyle="1" w:styleId="CopyrightText">
    <w:name w:val="Copyright Text"/>
    <w:basedOn w:val="BodyText"/>
    <w:rsid w:val="00ED0DBA"/>
    <w:rPr>
      <w:sz w:val="18"/>
    </w:rPr>
  </w:style>
  <w:style w:type="paragraph" w:customStyle="1" w:styleId="BodySmallRight">
    <w:name w:val="Body Small Right"/>
    <w:basedOn w:val="BodyTextRight"/>
    <w:rsid w:val="00ED0DBA"/>
    <w:rPr>
      <w:sz w:val="18"/>
      <w:szCs w:val="18"/>
    </w:rPr>
  </w:style>
  <w:style w:type="paragraph" w:customStyle="1" w:styleId="MarginEdition">
    <w:name w:val="Margin Edition"/>
    <w:basedOn w:val="MarginNote"/>
    <w:rsid w:val="00ED0DBA"/>
    <w:pPr>
      <w:spacing w:before="0" w:after="0"/>
    </w:pPr>
    <w:rPr>
      <w:rFonts w:ascii="Times New Roman" w:hAnsi="Times New Roman"/>
      <w:color w:val="999999"/>
    </w:rPr>
  </w:style>
  <w:style w:type="paragraph" w:customStyle="1" w:styleId="Spacer">
    <w:name w:val="Spacer"/>
    <w:basedOn w:val="Normal"/>
    <w:rsid w:val="00ED0DBA"/>
    <w:rPr>
      <w:sz w:val="2"/>
      <w:szCs w:val="2"/>
    </w:rPr>
  </w:style>
  <w:style w:type="character" w:customStyle="1" w:styleId="Small">
    <w:name w:val="Small"/>
    <w:basedOn w:val="DefaultParagraphFont"/>
    <w:rsid w:val="00ED0DBA"/>
    <w:rPr>
      <w:sz w:val="16"/>
    </w:rPr>
  </w:style>
  <w:style w:type="paragraph" w:customStyle="1" w:styleId="WideTable">
    <w:name w:val="Wide Table"/>
    <w:basedOn w:val="Normal"/>
    <w:rsid w:val="00ED0DBA"/>
    <w:pPr>
      <w:ind w:left="-1418"/>
    </w:pPr>
    <w:rPr>
      <w:sz w:val="2"/>
      <w:szCs w:val="2"/>
    </w:rPr>
  </w:style>
  <w:style w:type="character" w:styleId="PageNumber">
    <w:name w:val="page number"/>
    <w:basedOn w:val="DefaultParagraphFont"/>
    <w:rsid w:val="00ED0DBA"/>
  </w:style>
  <w:style w:type="paragraph" w:styleId="Quote">
    <w:name w:val="Quote"/>
    <w:basedOn w:val="Heading1"/>
    <w:link w:val="QuoteChar"/>
    <w:qFormat/>
    <w:rsid w:val="00ED0DBA"/>
    <w:rPr>
      <w:b w:val="0"/>
      <w:sz w:val="72"/>
      <w:szCs w:val="72"/>
      <w:lang w:val="en-NZ"/>
    </w:rPr>
  </w:style>
  <w:style w:type="character" w:customStyle="1" w:styleId="QuoteChar">
    <w:name w:val="Quote Char"/>
    <w:basedOn w:val="DefaultParagraphFont"/>
    <w:link w:val="Quote"/>
    <w:rsid w:val="00ED0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DBA"/>
    <w:pPr>
      <w:pageBreakBefore/>
    </w:pPr>
  </w:style>
  <w:style w:type="paragraph" w:customStyle="1" w:styleId="Border">
    <w:name w:val="Border"/>
    <w:basedOn w:val="Normal"/>
    <w:qFormat/>
    <w:rsid w:val="00ED0D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DBA"/>
    <w:rPr>
      <w:b/>
      <w:bCs/>
      <w:i/>
      <w:iCs/>
      <w:color w:val="auto"/>
    </w:rPr>
  </w:style>
  <w:style w:type="paragraph" w:styleId="IntenseQuote">
    <w:name w:val="Intense Quote"/>
    <w:basedOn w:val="Normal"/>
    <w:next w:val="Normal"/>
    <w:link w:val="IntenseQuoteChar"/>
    <w:uiPriority w:val="30"/>
    <w:qFormat/>
    <w:rsid w:val="00ED0D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D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0DBA"/>
    <w:rPr>
      <w:smallCaps/>
      <w:color w:val="auto"/>
      <w:u w:val="single"/>
    </w:rPr>
  </w:style>
  <w:style w:type="character" w:styleId="IntenseReference">
    <w:name w:val="Intense Reference"/>
    <w:basedOn w:val="DefaultParagraphFont"/>
    <w:uiPriority w:val="32"/>
    <w:qFormat/>
    <w:rsid w:val="00ED0DBA"/>
    <w:rPr>
      <w:b/>
      <w:bCs/>
      <w:smallCaps/>
      <w:color w:val="auto"/>
      <w:spacing w:val="5"/>
      <w:u w:val="single"/>
    </w:rPr>
  </w:style>
  <w:style w:type="paragraph" w:customStyle="1" w:styleId="2ColumnHeading">
    <w:name w:val="2Column Heading"/>
    <w:basedOn w:val="BodyText"/>
    <w:qFormat/>
    <w:rsid w:val="00ED0DBA"/>
    <w:pPr>
      <w:spacing w:after="60"/>
      <w:ind w:left="-2268"/>
    </w:pPr>
    <w:rPr>
      <w:b/>
    </w:rPr>
  </w:style>
  <w:style w:type="paragraph" w:customStyle="1" w:styleId="Heading1TOC">
    <w:name w:val="Heading1 TOC"/>
    <w:basedOn w:val="Normal"/>
    <w:qFormat/>
    <w:rsid w:val="00ED0DBA"/>
    <w:pPr>
      <w:spacing w:before="240" w:after="120"/>
    </w:pPr>
    <w:rPr>
      <w:rFonts w:ascii="Times New Roman" w:hAnsi="Times New Roman"/>
      <w:b/>
      <w:sz w:val="32"/>
    </w:rPr>
  </w:style>
  <w:style w:type="paragraph" w:customStyle="1" w:styleId="Heading2TOC">
    <w:name w:val="Heading2 TOC"/>
    <w:basedOn w:val="Normal"/>
    <w:qFormat/>
    <w:rsid w:val="00ED0DBA"/>
    <w:pPr>
      <w:spacing w:before="240" w:after="60"/>
    </w:pPr>
    <w:rPr>
      <w:rFonts w:ascii="Times New Roman" w:hAnsi="Times New Roman"/>
      <w:b/>
      <w:sz w:val="28"/>
    </w:rPr>
  </w:style>
  <w:style w:type="character" w:customStyle="1" w:styleId="Underline">
    <w:name w:val="Underline"/>
    <w:basedOn w:val="DefaultParagraphFont"/>
    <w:qFormat/>
    <w:rsid w:val="00ED0DBA"/>
    <w:rPr>
      <w:u w:val="single"/>
    </w:rPr>
  </w:style>
  <w:style w:type="paragraph" w:styleId="BalloonText">
    <w:name w:val="Balloon Text"/>
    <w:basedOn w:val="Normal"/>
    <w:link w:val="BalloonTextChar"/>
    <w:rsid w:val="00ED0DBA"/>
    <w:rPr>
      <w:rFonts w:ascii="Tahoma" w:hAnsi="Tahoma" w:cs="Tahoma"/>
      <w:sz w:val="16"/>
      <w:szCs w:val="16"/>
    </w:rPr>
  </w:style>
  <w:style w:type="character" w:customStyle="1" w:styleId="BalloonTextChar">
    <w:name w:val="Balloon Text Char"/>
    <w:basedOn w:val="DefaultParagraphFont"/>
    <w:link w:val="BalloonText"/>
    <w:rsid w:val="00ED0D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0D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0D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1261</Words>
  <Characters>8346</Characters>
  <Application>Microsoft Office Word</Application>
  <DocSecurity>0</DocSecurity>
  <Lines>340</Lines>
  <Paragraphs>219</Paragraphs>
  <ScaleCrop>false</ScaleCrop>
  <Company>Author-it Software Corporation Ltd.</Company>
  <LinksUpToDate>false</LinksUpToDate>
  <CharactersWithSpaces>9426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PUADEFEO814A Provide survey data for proof and experimental firing</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2012-05-26T04:22:00Z</dcterms:created>
  <dcterms:modified xsi:type="dcterms:W3CDTF">2012-05-26T04:22:00Z</dcterms:modified>
</cp:coreProperties>
</file>