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168" w:rsidP="00001168">
      <w:pPr>
        <w:pStyle w:val="Title"/>
      </w:pPr>
      <w:r>
        <w:fldChar w:fldCharType="begin"/>
      </w:r>
      <w:r>
        <w:instrText xml:space="preserve"> TITLE   \* MERGEFORMAT </w:instrText>
      </w:r>
      <w:r>
        <w:fldChar w:fldCharType="separate"/>
      </w:r>
      <w:r>
        <w:t>PUADEFEO802A Undertake proof firings of other calibre weapons</w:t>
      </w:r>
      <w:r>
        <w:fldChar w:fldCharType="end"/>
      </w:r>
    </w:p>
    <w:p w:rsidR="00001168" w:rsidP="00001168">
      <w:pPr>
        <w:pStyle w:val="Version"/>
        <w:sectPr w:rsidSect="00C318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318E2" w:rsidP="00C318E2">
      <w:pPr>
        <w:pStyle w:val="SuperHeading"/>
      </w:pPr>
      <w:r w:rsidRPr="00C318E2">
        <w:t>PUADEFEO802A Undertake proof firings of other calibre weapons</w:t>
      </w:r>
    </w:p>
    <w:p w:rsidR="00000000" w:rsidRPr="00C318E2" w:rsidP="00C318E2">
      <w:pPr>
        <w:pStyle w:val="SuperHeading"/>
      </w:pPr>
    </w:p>
    <w:p w:rsidR="00000000" w:rsidRPr="00C318E2" w:rsidP="00C318E2">
      <w:pPr>
        <w:pStyle w:val="Heading1"/>
      </w:pPr>
      <w:bookmarkStart w:id="1" w:name="O_121443"/>
      <w:bookmarkEnd w:id="1"/>
      <w:r w:rsidRPr="00C318E2">
        <w:t>Modification History</w:t>
      </w:r>
    </w:p>
    <w:p w:rsidR="00000000" w:rsidRPr="00C318E2" w:rsidP="00C318E2">
      <w:pPr>
        <w:pStyle w:val="BodyText"/>
      </w:pPr>
      <w:r w:rsidRPr="00C318E2">
        <w:t>Not applicable.</w:t>
      </w:r>
    </w:p>
    <w:p w:rsidR="00000000" w:rsidRPr="00C318E2" w:rsidP="00C318E2">
      <w:pPr>
        <w:pStyle w:val="AllowPageBreak"/>
      </w:pPr>
    </w:p>
    <w:p w:rsidR="00000000" w:rsidRPr="00C318E2" w:rsidP="00C318E2">
      <w:pPr>
        <w:pStyle w:val="Heading1"/>
      </w:pPr>
      <w:bookmarkStart w:id="2" w:name="O_121444"/>
      <w:bookmarkEnd w:id="2"/>
      <w:r w:rsidRPr="00C318E2">
        <w:t>Unit Descriptor</w:t>
      </w:r>
    </w:p>
    <w:tbl>
      <w:tblPr>
        <w:tblW w:w="0" w:type="auto"/>
        <w:tblLayout w:type="fixed"/>
        <w:tblCellMar>
          <w:left w:w="62" w:type="dxa"/>
          <w:right w:w="62" w:type="dxa"/>
        </w:tblCellMar>
        <w:tblLook w:val="0000"/>
      </w:tblPr>
      <w:tblGrid>
        <w:gridCol w:w="3060"/>
        <w:gridCol w:w="5580"/>
      </w:tblGrid>
      <w:tr w:rsidTr="0000116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318E2">
            <w:pPr>
              <w:pStyle w:val="BodyText"/>
              <w:rPr>
                <w:lang w:val="en-NZ"/>
              </w:rPr>
            </w:pPr>
            <w:r w:rsidRPr="00C318E2">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C318E2" w:rsidP="00C318E2">
            <w:pPr>
              <w:pStyle w:val="BodyText"/>
            </w:pPr>
            <w:r w:rsidRPr="00C318E2">
              <w:t>This unit covers the competency required to undertake proof or trial firings of other c</w:t>
            </w:r>
            <w:r w:rsidRPr="00C318E2">
              <w:t>alibre weapons.</w:t>
            </w:r>
          </w:p>
        </w:tc>
      </w:tr>
    </w:tbl>
    <w:p w:rsidR="00000000" w:rsidRPr="00C318E2" w:rsidP="00C318E2">
      <w:pPr>
        <w:pStyle w:val="BodyText"/>
      </w:pPr>
    </w:p>
    <w:p w:rsidR="00000000" w:rsidRPr="00C318E2" w:rsidP="00C318E2">
      <w:pPr>
        <w:pStyle w:val="AllowPageBreak"/>
      </w:pPr>
    </w:p>
    <w:p w:rsidR="00000000" w:rsidRPr="00C318E2" w:rsidP="00C318E2">
      <w:pPr>
        <w:pStyle w:val="Heading1"/>
      </w:pPr>
      <w:bookmarkStart w:id="3" w:name="O_121445"/>
      <w:bookmarkEnd w:id="3"/>
      <w:r w:rsidRPr="00C318E2">
        <w:t>Application of the Unit</w:t>
      </w:r>
    </w:p>
    <w:tbl>
      <w:tblPr>
        <w:tblW w:w="0" w:type="auto"/>
        <w:tblLayout w:type="fixed"/>
        <w:tblCellMar>
          <w:left w:w="62" w:type="dxa"/>
          <w:right w:w="62" w:type="dxa"/>
        </w:tblCellMar>
        <w:tblLook w:val="0000"/>
      </w:tblPr>
      <w:tblGrid>
        <w:gridCol w:w="3060"/>
        <w:gridCol w:w="5580"/>
      </w:tblGrid>
      <w:tr w:rsidTr="000011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18E2">
            <w:pPr>
              <w:pStyle w:val="BodyText"/>
              <w:rPr>
                <w:lang w:val="en-NZ"/>
              </w:rPr>
            </w:pPr>
            <w:r w:rsidRPr="00C318E2">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C318E2" w:rsidP="00C318E2">
            <w:pPr>
              <w:pStyle w:val="BodyText"/>
            </w:pPr>
            <w:r w:rsidRPr="00C318E2">
              <w:t>This unit was developed for specialists working within proof and trials organisations within Defence but may be applicable to any individual in this field of work.</w:t>
            </w:r>
          </w:p>
          <w:p w:rsidR="00000000" w:rsidP="00C318E2">
            <w:pPr>
              <w:pStyle w:val="BodyText"/>
              <w:rPr>
                <w:lang w:val="en-NZ"/>
              </w:rPr>
            </w:pPr>
            <w:r w:rsidRPr="00C318E2">
              <w:t>Typically these individuals must demonstrate the ability to work independently or as part of a weapon crew under direct and/or indirect supervision, use discretion and judgement, and take responsibility for the quality of their output. All activities are c</w:t>
            </w:r>
            <w:r w:rsidRPr="00C318E2">
              <w:t>arried out in accordance with relevant organisational policies and procedures.</w:t>
            </w:r>
          </w:p>
        </w:tc>
      </w:tr>
      <w:tr w:rsidTr="000011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318E2" w:rsidP="00C318E2">
            <w:pPr>
              <w:pStyle w:val="BodyText"/>
            </w:pPr>
          </w:p>
        </w:tc>
      </w:tr>
    </w:tbl>
    <w:p w:rsidR="00000000" w:rsidRPr="00C318E2" w:rsidP="00C318E2">
      <w:pPr>
        <w:pStyle w:val="BodyText"/>
      </w:pPr>
    </w:p>
    <w:p w:rsidR="00000000" w:rsidRPr="00C318E2" w:rsidP="00C318E2">
      <w:pPr>
        <w:pStyle w:val="AllowPageBreak"/>
      </w:pPr>
    </w:p>
    <w:p w:rsidR="00000000" w:rsidRPr="00C318E2" w:rsidP="00C318E2">
      <w:pPr>
        <w:pStyle w:val="Heading1"/>
      </w:pPr>
      <w:bookmarkStart w:id="4" w:name="O_121446"/>
      <w:bookmarkEnd w:id="4"/>
      <w:r w:rsidRPr="00C318E2">
        <w:t>Licensing/Regulatory Information</w:t>
      </w:r>
    </w:p>
    <w:p w:rsidR="00000000" w:rsidRPr="00C318E2" w:rsidP="00C318E2">
      <w:pPr>
        <w:pStyle w:val="BodyText"/>
      </w:pPr>
      <w:r w:rsidRPr="00C318E2">
        <w:t>Not applicable.</w:t>
      </w:r>
    </w:p>
    <w:p w:rsidR="00000000" w:rsidRPr="00C318E2" w:rsidP="00C318E2">
      <w:pPr>
        <w:pStyle w:val="AllowPageBreak"/>
      </w:pPr>
    </w:p>
    <w:p w:rsidR="00000000" w:rsidRPr="00C318E2" w:rsidP="00C318E2">
      <w:pPr>
        <w:pStyle w:val="Heading1"/>
      </w:pPr>
      <w:bookmarkStart w:id="5" w:name="O_121447"/>
      <w:bookmarkEnd w:id="5"/>
      <w:r w:rsidRPr="00C318E2">
        <w:t>Pre-Requisites</w:t>
      </w:r>
    </w:p>
    <w:p w:rsidR="00000000" w:rsidRPr="00C318E2" w:rsidP="00C318E2">
      <w:pPr>
        <w:pStyle w:val="BodyText"/>
      </w:pPr>
      <w:r w:rsidRPr="00C318E2">
        <w:t>Not applicable.</w:t>
      </w:r>
    </w:p>
    <w:p w:rsidR="00000000" w:rsidRPr="00C318E2" w:rsidP="00C318E2">
      <w:pPr>
        <w:pStyle w:val="AllowPageBreak"/>
      </w:pPr>
    </w:p>
    <w:p w:rsidR="00000000" w:rsidRPr="00C318E2" w:rsidP="00C318E2">
      <w:pPr>
        <w:pStyle w:val="Heading1"/>
      </w:pPr>
      <w:bookmarkStart w:id="6" w:name="O_121448"/>
      <w:bookmarkEnd w:id="6"/>
      <w:r w:rsidRPr="00C318E2">
        <w:t>Employability Skills Information</w:t>
      </w:r>
    </w:p>
    <w:tbl>
      <w:tblPr>
        <w:tblW w:w="0" w:type="auto"/>
        <w:tblLayout w:type="fixed"/>
        <w:tblCellMar>
          <w:left w:w="62" w:type="dxa"/>
          <w:right w:w="62" w:type="dxa"/>
        </w:tblCellMar>
        <w:tblLook w:val="0000"/>
      </w:tblPr>
      <w:tblGrid>
        <w:gridCol w:w="3060"/>
        <w:gridCol w:w="5580"/>
      </w:tblGrid>
      <w:tr w:rsidTr="0000116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318E2">
            <w:pPr>
              <w:pStyle w:val="BodyText"/>
              <w:rPr>
                <w:lang w:val="en-NZ"/>
              </w:rPr>
            </w:pPr>
            <w:r w:rsidRPr="00C318E2">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C318E2">
            <w:pPr>
              <w:pStyle w:val="BodyText"/>
              <w:rPr>
                <w:lang w:val="en-NZ"/>
              </w:rPr>
            </w:pPr>
            <w:r w:rsidRPr="00C318E2">
              <w:t>This unit contains employability skills.</w:t>
            </w:r>
          </w:p>
        </w:tc>
      </w:tr>
      <w:tr w:rsidTr="000011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318E2">
            <w:pPr>
              <w:pStyle w:val="BodyText"/>
              <w:rPr>
                <w:lang w:val="en-NZ"/>
              </w:rPr>
            </w:pPr>
            <w:r w:rsidRPr="00C318E2">
              <w:rPr>
                <w:rStyle w:val="SpecialBold"/>
              </w:rPr>
              <w:t>Pre-requisite Unit</w:t>
            </w:r>
            <w:r w:rsidRPr="00C318E2">
              <w:t>/</w:t>
            </w:r>
            <w:r w:rsidRPr="00C318E2">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318E2" w:rsidP="00C318E2">
            <w:pPr>
              <w:pStyle w:val="BodyText"/>
            </w:pPr>
            <w:r w:rsidRPr="00C318E2">
              <w:t>Nil</w:t>
            </w:r>
          </w:p>
        </w:tc>
      </w:tr>
    </w:tbl>
    <w:p w:rsidR="00000000" w:rsidRPr="00C318E2" w:rsidP="00C318E2">
      <w:pPr>
        <w:pStyle w:val="BodyText"/>
      </w:pPr>
    </w:p>
    <w:p w:rsidR="00000000" w:rsidRPr="00C318E2" w:rsidP="00C318E2">
      <w:pPr>
        <w:pStyle w:val="AllowPageBreak"/>
      </w:pPr>
    </w:p>
    <w:p w:rsidR="00000000" w:rsidRPr="00C318E2" w:rsidP="00C318E2">
      <w:pPr>
        <w:pStyle w:val="Heading1"/>
      </w:pPr>
      <w:bookmarkStart w:id="7" w:name="O_121449"/>
      <w:bookmarkEnd w:id="7"/>
      <w:r w:rsidRPr="00C318E2">
        <w:t>Elements and Performance Criteria Pre-Content</w:t>
      </w:r>
    </w:p>
    <w:tbl>
      <w:tblPr>
        <w:tblW w:w="0" w:type="auto"/>
        <w:tblLayout w:type="fixed"/>
        <w:tblCellMar>
          <w:left w:w="62" w:type="dxa"/>
          <w:right w:w="62" w:type="dxa"/>
        </w:tblCellMar>
        <w:tblLook w:val="0000"/>
      </w:tblPr>
      <w:tblGrid>
        <w:gridCol w:w="3060"/>
        <w:gridCol w:w="5580"/>
      </w:tblGrid>
      <w:tr w:rsidTr="0000116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318E2">
            <w:pPr>
              <w:pStyle w:val="BodyText"/>
              <w:rPr>
                <w:lang w:val="en-NZ"/>
              </w:rPr>
            </w:pPr>
            <w:r w:rsidRPr="00C318E2">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BodyText"/>
            </w:pPr>
            <w:r w:rsidRPr="00C318E2">
              <w:t>Performance Criteria describe the req</w:t>
            </w:r>
            <w:r w:rsidRPr="00C318E2">
              <w:t xml:space="preserve">uired performance needed to demonstrate achievement of the element. Where bold italicised text is used, further information is detailed in the Required Skills and Knowledge and/or the Range Statement. Assessment of performance is to be consistent with the </w:t>
            </w:r>
            <w:r w:rsidRPr="00C318E2">
              <w:t>Evidence Guide.</w:t>
            </w:r>
          </w:p>
        </w:tc>
      </w:tr>
    </w:tbl>
    <w:p w:rsidR="00000000" w:rsidRPr="00C318E2" w:rsidP="00C318E2">
      <w:pPr>
        <w:pStyle w:val="BodyText"/>
      </w:pPr>
    </w:p>
    <w:p w:rsidR="00000000" w:rsidRPr="00C318E2" w:rsidP="00C318E2">
      <w:pPr>
        <w:pStyle w:val="AllowPageBreak"/>
      </w:pPr>
    </w:p>
    <w:p w:rsidR="00000000" w:rsidRPr="00C318E2" w:rsidP="00C318E2">
      <w:pPr>
        <w:pStyle w:val="Heading1"/>
      </w:pPr>
      <w:bookmarkStart w:id="8" w:name="O_121450"/>
      <w:bookmarkEnd w:id="8"/>
      <w:r w:rsidRPr="00C318E2">
        <w:t>Elements and Performance Criteria</w:t>
      </w:r>
    </w:p>
    <w:tbl>
      <w:tblPr>
        <w:tblW w:w="0" w:type="auto"/>
        <w:tblLayout w:type="fixed"/>
        <w:tblCellMar>
          <w:left w:w="62" w:type="dxa"/>
          <w:right w:w="62" w:type="dxa"/>
        </w:tblCellMar>
        <w:tblLook w:val="0000"/>
      </w:tblPr>
      <w:tblGrid>
        <w:gridCol w:w="3060"/>
        <w:gridCol w:w="5580"/>
      </w:tblGrid>
      <w:tr w:rsidTr="0000116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318E2" w:rsidP="00C318E2">
            <w:pPr>
              <w:pStyle w:val="BodyText"/>
            </w:pPr>
            <w:r w:rsidRPr="00C318E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318E2">
            <w:pPr>
              <w:pStyle w:val="BodyText"/>
              <w:rPr>
                <w:lang w:val="en-NZ"/>
              </w:rPr>
            </w:pPr>
            <w:r w:rsidRPr="00C318E2">
              <w:rPr>
                <w:rStyle w:val="SpecialBold"/>
              </w:rPr>
              <w:t>PERFORMANCE CRITERIA</w:t>
            </w:r>
          </w:p>
        </w:tc>
      </w:tr>
      <w:tr w:rsidTr="0000116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318E2">
            <w:pPr>
              <w:pStyle w:val="List"/>
              <w:rPr>
                <w:lang w:val="en-NZ"/>
              </w:rPr>
            </w:pPr>
            <w:r w:rsidRPr="00C318E2">
              <w:t>1.</w:t>
            </w:r>
            <w:r w:rsidRPr="00C318E2">
              <w:tab/>
            </w:r>
            <w:r w:rsidRPr="00C318E2">
              <w:rPr>
                <w:rStyle w:val="SpecialBold"/>
              </w:rPr>
              <w:t>Prepare for firing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List2"/>
            </w:pPr>
            <w:r w:rsidRPr="00C318E2">
              <w:t>1.1</w:t>
            </w:r>
            <w:r w:rsidRPr="00C318E2">
              <w:tab/>
              <w:t xml:space="preserve">Occupational health and safety (OH&amp;S) requirements and recognised safety precautions including those contained in organisational </w:t>
            </w:r>
            <w:r w:rsidRPr="00C318E2">
              <w:t>procedures, are applied throughout the task</w:t>
            </w:r>
          </w:p>
          <w:p w:rsidR="00000000" w:rsidRPr="00C318E2" w:rsidP="00C318E2">
            <w:pPr>
              <w:pStyle w:val="List2"/>
            </w:pPr>
            <w:r w:rsidRPr="00C318E2">
              <w:t>1.2</w:t>
            </w:r>
            <w:r w:rsidRPr="00C318E2">
              <w:tab/>
            </w:r>
            <w:r w:rsidRPr="00C318E2">
              <w:rPr>
                <w:rStyle w:val="BoldandItalics"/>
              </w:rPr>
              <w:t>Other calibre weapons</w:t>
            </w:r>
            <w:r w:rsidRPr="00C318E2">
              <w:t xml:space="preserve"> are safely handled and/or carried in accordance with </w:t>
            </w:r>
            <w:r w:rsidRPr="00C318E2">
              <w:rPr>
                <w:rStyle w:val="BoldandItalics"/>
              </w:rPr>
              <w:t>standard procedures</w:t>
            </w:r>
          </w:p>
          <w:p w:rsidR="00000000" w:rsidRPr="00C318E2" w:rsidP="00C318E2">
            <w:pPr>
              <w:pStyle w:val="List2"/>
            </w:pPr>
            <w:r w:rsidRPr="00C318E2">
              <w:t>1.3</w:t>
            </w:r>
            <w:r w:rsidRPr="00C318E2">
              <w:tab/>
            </w:r>
            <w:r w:rsidRPr="00C318E2">
              <w:rPr>
                <w:rStyle w:val="BoldandItalics"/>
              </w:rPr>
              <w:t>Ammunition and explosive ordnance</w:t>
            </w:r>
            <w:r w:rsidRPr="00C318E2">
              <w:t xml:space="preserve"> are identified, selected and safely handled in accordance standard procedures</w:t>
            </w:r>
          </w:p>
          <w:p w:rsidR="00000000" w:rsidRPr="00C318E2" w:rsidP="00C318E2">
            <w:pPr>
              <w:pStyle w:val="List2"/>
            </w:pPr>
            <w:r w:rsidRPr="00C318E2">
              <w:t>1.4</w:t>
            </w:r>
            <w:r w:rsidRPr="00C318E2">
              <w:tab/>
            </w:r>
            <w:r w:rsidRPr="00C318E2">
              <w:rPr>
                <w:rStyle w:val="BoldandItalics"/>
              </w:rPr>
              <w:t>Weapons drills</w:t>
            </w:r>
            <w:r w:rsidRPr="00C318E2">
              <w:t xml:space="preserve"> are conducted in accordance with standard procedures</w:t>
            </w:r>
          </w:p>
          <w:p w:rsidR="00000000" w:rsidRPr="00C318E2" w:rsidP="00C318E2">
            <w:pPr>
              <w:pStyle w:val="List2"/>
            </w:pPr>
            <w:r w:rsidRPr="00C318E2">
              <w:t>1.5</w:t>
            </w:r>
            <w:r w:rsidRPr="00C318E2">
              <w:tab/>
              <w:t>Fire positions are adopted in accordance with the proof or trial requirement, where required</w:t>
            </w:r>
          </w:p>
          <w:p w:rsidR="00000000" w:rsidP="00C318E2">
            <w:pPr>
              <w:pStyle w:val="List2"/>
              <w:rPr>
                <w:lang w:val="en-NZ"/>
              </w:rPr>
            </w:pPr>
            <w:r w:rsidRPr="00C318E2">
              <w:t>1.6</w:t>
            </w:r>
            <w:r w:rsidRPr="00C318E2">
              <w:tab/>
            </w:r>
            <w:r w:rsidRPr="00C318E2">
              <w:rPr>
                <w:rStyle w:val="BoldandItalics"/>
              </w:rPr>
              <w:t>Stat</w:t>
            </w:r>
            <w:r w:rsidRPr="00C318E2">
              <w:rPr>
                <w:rStyle w:val="BoldandItalics"/>
              </w:rPr>
              <w:t>ic fired</w:t>
            </w:r>
            <w:r w:rsidRPr="00C318E2">
              <w:t xml:space="preserve"> weapons are safely prepared and secured in accordance with standard procedures</w:t>
            </w:r>
          </w:p>
        </w:tc>
      </w:tr>
      <w:tr w:rsidTr="0000116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318E2">
            <w:pPr>
              <w:pStyle w:val="BodyText"/>
              <w:rPr>
                <w:lang w:val="en-NZ"/>
              </w:rPr>
            </w:pPr>
          </w:p>
        </w:tc>
      </w:tr>
      <w:tr w:rsidTr="0000116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318E2">
            <w:pPr>
              <w:pStyle w:val="List"/>
              <w:rPr>
                <w:lang w:val="en-NZ"/>
              </w:rPr>
            </w:pPr>
            <w:r w:rsidRPr="00C318E2">
              <w:t>2.</w:t>
            </w:r>
            <w:r w:rsidRPr="00C318E2">
              <w:tab/>
            </w:r>
            <w:r w:rsidRPr="00C318E2">
              <w:rPr>
                <w:rStyle w:val="SpecialBold"/>
              </w:rPr>
              <w:t>Fire weapons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List2"/>
            </w:pPr>
            <w:r w:rsidRPr="00C318E2">
              <w:t>2.1</w:t>
            </w:r>
            <w:r w:rsidRPr="00C318E2">
              <w:tab/>
              <w:t xml:space="preserve">Weapons are fired in a </w:t>
            </w:r>
            <w:r w:rsidRPr="00C318E2">
              <w:rPr>
                <w:rStyle w:val="BoldandItalics"/>
              </w:rPr>
              <w:t>person fired</w:t>
            </w:r>
            <w:r w:rsidRPr="00C318E2">
              <w:t xml:space="preserve"> or static fired mode in accordance with proof or trial requirements.</w:t>
            </w:r>
          </w:p>
          <w:p w:rsidR="00000000" w:rsidRPr="00C318E2" w:rsidP="00C318E2">
            <w:pPr>
              <w:pStyle w:val="List2"/>
            </w:pPr>
            <w:r w:rsidRPr="00C318E2">
              <w:t>2.2</w:t>
            </w:r>
            <w:r w:rsidRPr="00C318E2">
              <w:tab/>
              <w:t>Weapon sighting systems and associa</w:t>
            </w:r>
            <w:r w:rsidRPr="00C318E2">
              <w:t>ted equipment are employed in accordance with standard procedures</w:t>
            </w:r>
          </w:p>
          <w:p w:rsidR="00000000" w:rsidRPr="00C318E2" w:rsidP="00C318E2">
            <w:pPr>
              <w:pStyle w:val="List2"/>
            </w:pPr>
            <w:r w:rsidRPr="00C318E2">
              <w:t>2.3</w:t>
            </w:r>
            <w:r w:rsidRPr="00C318E2">
              <w:tab/>
              <w:t>Targets are identified and engaged in accordance with proof or trial requirements</w:t>
            </w:r>
          </w:p>
          <w:p w:rsidR="00000000" w:rsidP="00C318E2">
            <w:pPr>
              <w:pStyle w:val="List2"/>
              <w:rPr>
                <w:lang w:val="en-NZ"/>
              </w:rPr>
            </w:pPr>
            <w:r w:rsidRPr="00C318E2">
              <w:t>2.4</w:t>
            </w:r>
            <w:r w:rsidRPr="00C318E2">
              <w:tab/>
            </w:r>
            <w:r w:rsidRPr="00C318E2">
              <w:rPr>
                <w:rStyle w:val="BoldandItalics"/>
              </w:rPr>
              <w:t>Incidents</w:t>
            </w:r>
            <w:r w:rsidRPr="00C318E2">
              <w:t xml:space="preserve"> are reported in accordance with standard procedures</w:t>
            </w:r>
          </w:p>
        </w:tc>
      </w:tr>
      <w:tr w:rsidTr="0000116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318E2">
            <w:pPr>
              <w:pStyle w:val="BodyText"/>
              <w:rPr>
                <w:lang w:val="en-NZ"/>
              </w:rPr>
            </w:pPr>
          </w:p>
        </w:tc>
      </w:tr>
      <w:tr w:rsidTr="0000116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318E2">
            <w:pPr>
              <w:pStyle w:val="List"/>
              <w:rPr>
                <w:lang w:val="en-NZ"/>
              </w:rPr>
            </w:pPr>
            <w:r w:rsidRPr="00C318E2">
              <w:t>3.</w:t>
            </w:r>
            <w:r w:rsidRPr="00C318E2">
              <w:tab/>
            </w:r>
            <w:r w:rsidRPr="00C318E2">
              <w:rPr>
                <w:rStyle w:val="SpecialBold"/>
              </w:rPr>
              <w:t>Finalise a range practice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List2"/>
            </w:pPr>
            <w:r w:rsidRPr="00C318E2">
              <w:t>3.1</w:t>
            </w:r>
            <w:r w:rsidRPr="00C318E2">
              <w:tab/>
            </w:r>
            <w:r w:rsidRPr="00C318E2">
              <w:rPr>
                <w:rStyle w:val="BoldandItalics"/>
              </w:rPr>
              <w:t>Operator maintenance</w:t>
            </w:r>
            <w:r w:rsidRPr="00C318E2">
              <w:t xml:space="preserve"> is undertaken in accordance with standard procedures or in accordance with the proof or trial instruction </w:t>
            </w:r>
          </w:p>
          <w:p w:rsidR="00000000" w:rsidRPr="00C318E2" w:rsidP="00C318E2">
            <w:pPr>
              <w:pStyle w:val="List2"/>
            </w:pPr>
            <w:r w:rsidRPr="00C318E2">
              <w:t>3.2</w:t>
            </w:r>
            <w:r w:rsidRPr="00C318E2">
              <w:tab/>
            </w:r>
            <w:r w:rsidRPr="00C318E2">
              <w:rPr>
                <w:rStyle w:val="BoldandItalics"/>
              </w:rPr>
              <w:t>Defects</w:t>
            </w:r>
            <w:r w:rsidRPr="00C318E2">
              <w:t xml:space="preserve"> are identified and reported in accordance with standard procedures</w:t>
            </w:r>
          </w:p>
          <w:p w:rsidR="00000000" w:rsidRPr="00C318E2" w:rsidP="00C318E2">
            <w:pPr>
              <w:pStyle w:val="List2"/>
            </w:pPr>
            <w:r w:rsidRPr="00C318E2">
              <w:t>3.3</w:t>
            </w:r>
            <w:r w:rsidRPr="00C318E2">
              <w:tab/>
            </w:r>
            <w:r w:rsidRPr="00C318E2">
              <w:rPr>
                <w:rStyle w:val="BoldandItalics"/>
              </w:rPr>
              <w:t>Refurbishment</w:t>
            </w:r>
            <w:r w:rsidRPr="00C318E2">
              <w:t xml:space="preserve"> of ranges is undertaken in acco</w:t>
            </w:r>
            <w:r w:rsidRPr="00C318E2">
              <w:t>rdance with standard procedures</w:t>
            </w:r>
          </w:p>
          <w:p w:rsidR="00000000" w:rsidRPr="00C318E2" w:rsidP="00C318E2">
            <w:pPr>
              <w:pStyle w:val="List2"/>
            </w:pPr>
            <w:r w:rsidRPr="00C318E2">
              <w:t>3.4</w:t>
            </w:r>
            <w:r w:rsidRPr="00C318E2">
              <w:tab/>
            </w:r>
            <w:r w:rsidRPr="00C318E2">
              <w:rPr>
                <w:rStyle w:val="BoldandItalics"/>
              </w:rPr>
              <w:t>Post range practice administration</w:t>
            </w:r>
            <w:r w:rsidRPr="00C318E2">
              <w:t xml:space="preserve"> is completed in accordance with standard procedures</w:t>
            </w:r>
          </w:p>
          <w:p w:rsidR="00000000" w:rsidP="00C318E2">
            <w:pPr>
              <w:pStyle w:val="List2"/>
              <w:rPr>
                <w:lang w:val="en-NZ"/>
              </w:rPr>
            </w:pPr>
            <w:r w:rsidRPr="00C318E2">
              <w:t>3.5</w:t>
            </w:r>
            <w:r w:rsidRPr="00C318E2">
              <w:tab/>
            </w:r>
            <w:r w:rsidRPr="00C318E2">
              <w:rPr>
                <w:rStyle w:val="BoldandItalics"/>
              </w:rPr>
              <w:t>Observations</w:t>
            </w:r>
            <w:r w:rsidRPr="00C318E2">
              <w:t xml:space="preserve"> on the firing are reported in accordance with the proof or trial instruction and organisational procedures</w:t>
            </w:r>
          </w:p>
        </w:tc>
      </w:tr>
      <w:tr w:rsidTr="0000116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BodyText"/>
            </w:pPr>
          </w:p>
        </w:tc>
      </w:tr>
    </w:tbl>
    <w:p w:rsidR="00000000" w:rsidRPr="00C318E2" w:rsidP="00C318E2">
      <w:pPr>
        <w:pStyle w:val="BodyText"/>
      </w:pPr>
    </w:p>
    <w:p w:rsidR="00000000" w:rsidRPr="00C318E2" w:rsidP="00C318E2">
      <w:pPr>
        <w:pStyle w:val="AllowPageBreak"/>
      </w:pPr>
    </w:p>
    <w:p w:rsidR="00000000" w:rsidRPr="00C318E2" w:rsidP="00C318E2">
      <w:pPr>
        <w:pStyle w:val="Heading1"/>
      </w:pPr>
      <w:bookmarkStart w:id="9" w:name="O_121451"/>
      <w:bookmarkEnd w:id="9"/>
      <w:r w:rsidRPr="00C318E2">
        <w:t>Required Skills and Knowledge</w:t>
      </w:r>
    </w:p>
    <w:tbl>
      <w:tblPr>
        <w:tblW w:w="0" w:type="auto"/>
        <w:tblLayout w:type="fixed"/>
        <w:tblCellMar>
          <w:left w:w="62" w:type="dxa"/>
          <w:right w:w="62" w:type="dxa"/>
        </w:tblCellMar>
        <w:tblLook w:val="0000"/>
      </w:tblPr>
      <w:tblGrid>
        <w:gridCol w:w="8640"/>
      </w:tblGrid>
      <w:tr w:rsidTr="0000116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318E2">
            <w:pPr>
              <w:pStyle w:val="BodyText"/>
              <w:rPr>
                <w:lang w:val="en-NZ"/>
              </w:rPr>
            </w:pPr>
            <w:r w:rsidRPr="00C318E2">
              <w:rPr>
                <w:rStyle w:val="SpecialBold"/>
              </w:rPr>
              <w:t>REQUIRED SKILLS AND KNOWLEDGE</w:t>
            </w:r>
          </w:p>
        </w:tc>
      </w:tr>
      <w:tr w:rsidTr="0000116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318E2">
            <w:pPr>
              <w:pStyle w:val="BodyText"/>
              <w:rPr>
                <w:lang w:val="en-NZ"/>
              </w:rPr>
            </w:pPr>
            <w:r w:rsidRPr="00C318E2">
              <w:t>This describes the essential skills and knowledge and their level, required for this unit.</w:t>
            </w:r>
          </w:p>
        </w:tc>
      </w:tr>
      <w:tr w:rsidTr="0000116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318E2">
            <w:pPr>
              <w:pStyle w:val="BodyText"/>
              <w:rPr>
                <w:lang w:val="en-NZ"/>
              </w:rPr>
            </w:pPr>
            <w:r w:rsidRPr="00C318E2">
              <w:rPr>
                <w:rStyle w:val="SpecialBold"/>
              </w:rPr>
              <w:t>Required Skills</w:t>
            </w:r>
          </w:p>
        </w:tc>
      </w:tr>
      <w:tr w:rsidTr="0000116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318E2" w:rsidP="00C318E2">
            <w:pPr>
              <w:pStyle w:val="ListBullet"/>
            </w:pPr>
            <w:r w:rsidRPr="00C318E2">
              <w:t>handle weapon safely</w:t>
            </w:r>
          </w:p>
          <w:p w:rsidR="00000000" w:rsidRPr="00C318E2" w:rsidP="00C318E2">
            <w:pPr>
              <w:pStyle w:val="ListBullet"/>
            </w:pPr>
            <w:r w:rsidRPr="00C318E2">
              <w:t>identify relevant information</w:t>
            </w:r>
          </w:p>
          <w:p w:rsidR="00000000" w:rsidRPr="00C318E2" w:rsidP="00C318E2">
            <w:pPr>
              <w:pStyle w:val="ListBullet"/>
            </w:pPr>
            <w:r w:rsidRPr="00C318E2">
              <w:t>operate weapon safely</w:t>
            </w:r>
          </w:p>
          <w:p w:rsidR="00000000" w:rsidRPr="00C318E2" w:rsidP="00C318E2">
            <w:pPr>
              <w:pStyle w:val="ListBullet"/>
            </w:pPr>
            <w:r w:rsidRPr="00C318E2">
              <w:t>prepare and present simple reports</w:t>
            </w:r>
          </w:p>
          <w:p w:rsidR="00000000" w:rsidRPr="00C318E2" w:rsidP="00C318E2">
            <w:pPr>
              <w:pStyle w:val="ListBullet"/>
            </w:pPr>
            <w:r w:rsidRPr="00C318E2">
              <w:t>provide and receive feedback in a constructive manner</w:t>
            </w:r>
          </w:p>
          <w:p w:rsidR="00000000" w:rsidRPr="00C318E2" w:rsidP="00C318E2">
            <w:pPr>
              <w:pStyle w:val="ListBullet"/>
            </w:pPr>
            <w:r w:rsidRPr="00C318E2">
              <w:t>use appropriate information technology and software</w:t>
            </w:r>
          </w:p>
          <w:p w:rsidR="00000000" w:rsidP="00C318E2">
            <w:pPr>
              <w:pStyle w:val="ListBullet"/>
              <w:rPr>
                <w:lang w:val="en-NZ"/>
              </w:rPr>
            </w:pPr>
            <w:r w:rsidRPr="00C318E2">
              <w:t>use a variety of verbal and non-verbal communication techniques</w:t>
            </w:r>
          </w:p>
        </w:tc>
      </w:tr>
      <w:tr w:rsidTr="0000116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318E2">
            <w:pPr>
              <w:pStyle w:val="BodyText"/>
              <w:rPr>
                <w:lang w:val="en-NZ"/>
              </w:rPr>
            </w:pPr>
            <w:r w:rsidRPr="00C318E2">
              <w:rPr>
                <w:rStyle w:val="SpecialBold"/>
              </w:rPr>
              <w:t>Required Knowledge</w:t>
            </w:r>
          </w:p>
        </w:tc>
      </w:tr>
      <w:tr w:rsidTr="0000116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318E2" w:rsidP="00C318E2">
            <w:pPr>
              <w:pStyle w:val="ListBullet"/>
            </w:pPr>
            <w:r w:rsidRPr="00C318E2">
              <w:t>codes o</w:t>
            </w:r>
            <w:r w:rsidRPr="00C318E2">
              <w:t>f practice</w:t>
            </w:r>
          </w:p>
          <w:p w:rsidR="00000000" w:rsidRPr="00C318E2" w:rsidP="00C318E2">
            <w:pPr>
              <w:pStyle w:val="ListBullet"/>
            </w:pPr>
            <w:r w:rsidRPr="00C318E2">
              <w:t>firing operation and effect of relevant weapons</w:t>
            </w:r>
          </w:p>
          <w:p w:rsidR="00000000" w:rsidRPr="00C318E2" w:rsidP="00C318E2">
            <w:pPr>
              <w:pStyle w:val="ListBullet"/>
            </w:pPr>
            <w:r w:rsidRPr="00C318E2">
              <w:t>information sources</w:t>
            </w:r>
          </w:p>
          <w:p w:rsidR="00000000" w:rsidRPr="00C318E2" w:rsidP="00C318E2">
            <w:pPr>
              <w:pStyle w:val="ListBullet"/>
            </w:pPr>
            <w:r w:rsidRPr="00C318E2">
              <w:t>organisational guidelines and standards</w:t>
            </w:r>
          </w:p>
          <w:p w:rsidR="00000000" w:rsidRPr="00C318E2" w:rsidP="00C318E2">
            <w:pPr>
              <w:pStyle w:val="ListBullet"/>
            </w:pPr>
            <w:r w:rsidRPr="00C318E2">
              <w:t>regulatory requirements</w:t>
            </w:r>
          </w:p>
          <w:p w:rsidR="00000000" w:rsidRPr="00C318E2" w:rsidP="00C318E2">
            <w:pPr>
              <w:pStyle w:val="ListBullet"/>
            </w:pPr>
            <w:r w:rsidRPr="00C318E2">
              <w:t>relevant legislation</w:t>
            </w:r>
          </w:p>
          <w:p w:rsidR="00000000" w:rsidRPr="00C318E2" w:rsidP="00C318E2">
            <w:pPr>
              <w:pStyle w:val="ListBullet"/>
            </w:pPr>
            <w:r w:rsidRPr="00C318E2">
              <w:t>standards relevant to organisational operations</w:t>
            </w:r>
          </w:p>
          <w:p w:rsidR="00000000" w:rsidRPr="00C318E2" w:rsidP="00C318E2">
            <w:pPr>
              <w:pStyle w:val="ListBullet"/>
            </w:pPr>
            <w:r w:rsidRPr="00C318E2">
              <w:t>verbal communication techniques</w:t>
            </w:r>
          </w:p>
          <w:p w:rsidR="00000000" w:rsidRPr="00C318E2" w:rsidP="00C318E2">
            <w:pPr>
              <w:pStyle w:val="ListBullet"/>
            </w:pPr>
            <w:r w:rsidRPr="00C318E2">
              <w:t>workplace safety in regard to handling relevant weapons</w:t>
            </w:r>
          </w:p>
          <w:p w:rsidR="00000000" w:rsidP="00C318E2">
            <w:pPr>
              <w:pStyle w:val="ListBullet"/>
              <w:rPr>
                <w:lang w:val="en-NZ"/>
              </w:rPr>
            </w:pPr>
            <w:r w:rsidRPr="00C318E2">
              <w:t>written communication to a level required in the preparation of simple reports</w:t>
            </w:r>
          </w:p>
        </w:tc>
      </w:tr>
      <w:tr w:rsidTr="0000116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318E2" w:rsidP="00C318E2">
            <w:pPr>
              <w:pStyle w:val="BodyText"/>
            </w:pPr>
          </w:p>
        </w:tc>
      </w:tr>
    </w:tbl>
    <w:p w:rsidR="00000000" w:rsidRPr="00C318E2" w:rsidP="00C318E2">
      <w:pPr>
        <w:pStyle w:val="BodyText"/>
      </w:pPr>
    </w:p>
    <w:p w:rsidR="00000000" w:rsidRPr="00C318E2" w:rsidP="00C318E2">
      <w:pPr>
        <w:pStyle w:val="AllowPageBreak"/>
      </w:pPr>
    </w:p>
    <w:p w:rsidR="00000000" w:rsidRPr="00C318E2" w:rsidP="00C318E2">
      <w:pPr>
        <w:pStyle w:val="Heading1"/>
      </w:pPr>
      <w:bookmarkStart w:id="10" w:name="O_121452"/>
      <w:bookmarkEnd w:id="10"/>
      <w:r w:rsidRPr="00C318E2">
        <w:t>Evidence Guide</w:t>
      </w:r>
    </w:p>
    <w:tbl>
      <w:tblPr>
        <w:tblW w:w="0" w:type="auto"/>
        <w:tblLayout w:type="fixed"/>
        <w:tblCellMar>
          <w:left w:w="62" w:type="dxa"/>
          <w:right w:w="62" w:type="dxa"/>
        </w:tblCellMar>
        <w:tblLook w:val="0000"/>
      </w:tblPr>
      <w:tblGrid>
        <w:gridCol w:w="2700"/>
        <w:gridCol w:w="5940"/>
      </w:tblGrid>
      <w:tr w:rsidTr="000011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C318E2">
            <w:pPr>
              <w:pStyle w:val="BodyText"/>
              <w:rPr>
                <w:lang w:val="en-NZ"/>
              </w:rPr>
            </w:pPr>
            <w:r w:rsidRPr="00C318E2">
              <w:rPr>
                <w:rStyle w:val="SpecialBold"/>
              </w:rPr>
              <w:t>EVIDENCE GUIDE</w:t>
            </w:r>
          </w:p>
        </w:tc>
        <w:tc>
          <w:tcPr>
            <w:tcW w:w="5940" w:type="dxa"/>
            <w:tcBorders>
              <w:top w:val="nil"/>
              <w:left w:val="nil"/>
              <w:bottom w:val="nil"/>
              <w:right w:val="nil"/>
            </w:tcBorders>
            <w:tcMar>
              <w:top w:w="0" w:type="dxa"/>
              <w:left w:w="62" w:type="dxa"/>
              <w:bottom w:w="0" w:type="dxa"/>
              <w:right w:w="62" w:type="dxa"/>
            </w:tcMar>
          </w:tcPr>
          <w:p w:rsidR="00000000" w:rsidP="00C318E2">
            <w:pPr>
              <w:pStyle w:val="BodyText"/>
              <w:rPr>
                <w:lang w:val="en-NZ"/>
              </w:rPr>
            </w:pPr>
          </w:p>
        </w:tc>
      </w:tr>
      <w:tr w:rsidTr="0000116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318E2">
            <w:pPr>
              <w:pStyle w:val="BodyText"/>
              <w:rPr>
                <w:lang w:val="en-NZ"/>
              </w:rPr>
            </w:pPr>
            <w:r w:rsidRPr="00C318E2">
              <w:t>The evidence guide provides advice on assessment and must be read in conjunction with the Performance Criteria, Required Skills and Knowledge, the Range Statement and the Assessment Guidelines for this Training Package.</w:t>
            </w: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318E2">
            <w:pPr>
              <w:pStyle w:val="BodyText"/>
              <w:rPr>
                <w:lang w:val="en-NZ"/>
              </w:rPr>
            </w:pPr>
            <w:r w:rsidRPr="00C318E2">
              <w:rPr>
                <w:rStyle w:val="SpecialBold"/>
              </w:rPr>
              <w:t>Critical aspects for assessment an</w:t>
            </w:r>
            <w:r w:rsidRPr="00C318E2">
              <w:rPr>
                <w:rStyle w:val="SpecialBold"/>
              </w:rPr>
              <w:t>d evidence required to demonstrate competency in this unit</w:t>
            </w:r>
          </w:p>
        </w:tc>
        <w:tc>
          <w:tcPr>
            <w:tcW w:w="594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BodyText"/>
            </w:pPr>
            <w:r w:rsidRPr="00C318E2">
              <w:t>Assessment must confirm the ability to:</w:t>
            </w:r>
          </w:p>
          <w:p w:rsidR="00000000" w:rsidRPr="00C318E2" w:rsidP="00C318E2">
            <w:pPr>
              <w:pStyle w:val="ListBullet"/>
            </w:pPr>
            <w:r w:rsidRPr="00C318E2">
              <w:t>safely operate the range of other calibre weapons used in the test/trial to conduct all weapon drills</w:t>
            </w:r>
          </w:p>
          <w:p w:rsidR="00000000" w:rsidRPr="00C318E2" w:rsidP="00C318E2">
            <w:pPr>
              <w:pStyle w:val="ListBullet"/>
            </w:pPr>
            <w:r w:rsidRPr="00C318E2">
              <w:t>work as part of a weapon crew on appropriate crew serv</w:t>
            </w:r>
            <w:r w:rsidRPr="00C318E2">
              <w:t>ed weapons.</w:t>
            </w:r>
          </w:p>
          <w:p w:rsidR="00000000" w:rsidRPr="00C318E2" w:rsidP="00C318E2">
            <w:pPr>
              <w:pStyle w:val="BodyText"/>
            </w:pPr>
            <w:r w:rsidRPr="00C318E2">
              <w:rPr>
                <w:rStyle w:val="SpecialBold"/>
              </w:rPr>
              <w:t>Consistency in performance</w:t>
            </w:r>
          </w:p>
          <w:p w:rsidR="00000000" w:rsidP="00C318E2">
            <w:pPr>
              <w:pStyle w:val="BodyText"/>
              <w:rPr>
                <w:lang w:val="en-NZ"/>
              </w:rPr>
            </w:pPr>
            <w:r w:rsidRPr="00C318E2">
              <w:t xml:space="preserve">Competency should be demonstrated over time in a variety of environments and tests/trials. </w:t>
            </w: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single" w:sz="6" w:space="0" w:color="auto"/>
              <w:bottom w:val="nil"/>
              <w:right w:val="nil"/>
            </w:tcBorders>
            <w:tcMar>
              <w:top w:w="0" w:type="dxa"/>
              <w:left w:w="62" w:type="dxa"/>
              <w:bottom w:w="0" w:type="dxa"/>
              <w:right w:w="62" w:type="dxa"/>
            </w:tcMar>
          </w:tcPr>
          <w:p w:rsidR="00000000" w:rsidP="00C318E2">
            <w:pPr>
              <w:pStyle w:val="BodyText"/>
              <w:rPr>
                <w:lang w:val="en-NZ"/>
              </w:rPr>
            </w:pP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RPr="00C318E2" w:rsidP="00C318E2">
            <w:pPr>
              <w:pStyle w:val="BodyText"/>
            </w:pPr>
            <w:r w:rsidRPr="00C318E2">
              <w:rPr>
                <w:rStyle w:val="SpecialBold"/>
              </w:rPr>
              <w:t>Context of and specific resources for assessment</w:t>
            </w:r>
          </w:p>
        </w:tc>
        <w:tc>
          <w:tcPr>
            <w:tcW w:w="594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BodyText"/>
            </w:pPr>
            <w:r w:rsidRPr="00C318E2">
              <w:rPr>
                <w:rStyle w:val="SpecialBold"/>
              </w:rPr>
              <w:t>Context of assessment</w:t>
            </w:r>
          </w:p>
          <w:p w:rsidR="00000000" w:rsidRPr="00C318E2" w:rsidP="00C318E2">
            <w:pPr>
              <w:pStyle w:val="BodyText"/>
            </w:pPr>
            <w:r w:rsidRPr="00C318E2">
              <w:t>Competency should be assessed in the workplace or in a simulated work environment, in accordance with all relevant legislation and organisational requirements.</w:t>
            </w:r>
          </w:p>
          <w:p w:rsidR="00000000" w:rsidRPr="00C318E2" w:rsidP="00C318E2">
            <w:pPr>
              <w:pStyle w:val="BodyText"/>
            </w:pPr>
            <w:r w:rsidRPr="00C318E2">
              <w:rPr>
                <w:rStyle w:val="SpecialBold"/>
              </w:rPr>
              <w:t>Specific resources for assessment</w:t>
            </w:r>
          </w:p>
          <w:p w:rsidR="00000000" w:rsidRPr="00C318E2" w:rsidP="00C318E2">
            <w:pPr>
              <w:pStyle w:val="BodyText"/>
            </w:pPr>
            <w:r w:rsidRPr="00C318E2">
              <w:t>Access is required to:</w:t>
            </w:r>
          </w:p>
          <w:p w:rsidR="00000000" w:rsidRPr="00C318E2" w:rsidP="00C318E2">
            <w:pPr>
              <w:pStyle w:val="ListBullet"/>
            </w:pPr>
            <w:r w:rsidRPr="00C318E2">
              <w:t>live fire range and live ammunition</w:t>
            </w:r>
          </w:p>
          <w:p w:rsidR="00000000" w:rsidRPr="00C318E2" w:rsidP="00C318E2">
            <w:pPr>
              <w:pStyle w:val="ListBullet"/>
            </w:pPr>
            <w:r w:rsidRPr="00C318E2">
              <w:t>py</w:t>
            </w:r>
            <w:r w:rsidRPr="00C318E2">
              <w:t>rotechnics</w:t>
            </w:r>
          </w:p>
          <w:p w:rsidR="00000000" w:rsidP="00C318E2">
            <w:pPr>
              <w:pStyle w:val="ListBullet"/>
              <w:rPr>
                <w:lang w:val="en-NZ"/>
              </w:rPr>
            </w:pPr>
            <w:r w:rsidRPr="00C318E2">
              <w:t xml:space="preserve">explosives. </w:t>
            </w: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single" w:sz="6" w:space="0" w:color="auto"/>
              <w:bottom w:val="nil"/>
              <w:right w:val="nil"/>
            </w:tcBorders>
            <w:tcMar>
              <w:top w:w="0" w:type="dxa"/>
              <w:left w:w="62" w:type="dxa"/>
              <w:bottom w:w="0" w:type="dxa"/>
              <w:right w:w="62" w:type="dxa"/>
            </w:tcMar>
          </w:tcPr>
          <w:p w:rsidR="00000000" w:rsidP="00C318E2">
            <w:pPr>
              <w:pStyle w:val="BodyText"/>
              <w:rPr>
                <w:lang w:val="en-NZ"/>
              </w:rPr>
            </w:pP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318E2">
            <w:pPr>
              <w:pStyle w:val="BodyText"/>
              <w:rPr>
                <w:lang w:val="en-NZ"/>
              </w:rPr>
            </w:pPr>
            <w:r w:rsidRPr="00C318E2">
              <w:rPr>
                <w:rStyle w:val="SpecialBold"/>
              </w:rPr>
              <w:t>Method of assessment</w:t>
            </w:r>
          </w:p>
        </w:tc>
        <w:tc>
          <w:tcPr>
            <w:tcW w:w="594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BodyText"/>
            </w:pPr>
            <w:r w:rsidRPr="00C318E2">
              <w:t>This unit may be assessed with the following unit:</w:t>
            </w:r>
          </w:p>
          <w:p w:rsidR="00000000" w:rsidRPr="00C318E2" w:rsidP="00C318E2">
            <w:pPr>
              <w:pStyle w:val="ListBullet"/>
            </w:pPr>
            <w:r w:rsidRPr="00C318E2">
              <w:t>PUADEFEO101D Work safely with explosive ordnance.</w:t>
            </w:r>
          </w:p>
          <w:p w:rsidR="00000000" w:rsidRPr="00C318E2" w:rsidP="00C318E2">
            <w:pPr>
              <w:pStyle w:val="BodyText"/>
            </w:pPr>
            <w:r w:rsidRPr="00C318E2">
              <w:t>In a public safety environment assessment is usually conducted via direct observation in a training environment or in the workplace via subject matter supervision and/or mentoring, which is typically recorded in a competency workbook.</w:t>
            </w:r>
          </w:p>
          <w:p w:rsidR="00000000" w:rsidRPr="00C318E2" w:rsidP="00C318E2">
            <w:pPr>
              <w:pStyle w:val="BodyText"/>
            </w:pPr>
            <w:r w:rsidRPr="00C318E2">
              <w:t>Assessment is complet</w:t>
            </w:r>
            <w:r w:rsidRPr="00C318E2">
              <w:t>ed using appropriately qualified assessors who select the most appropriate method of assessment.</w:t>
            </w:r>
          </w:p>
          <w:p w:rsidR="00000000" w:rsidRPr="00C318E2" w:rsidP="00C318E2">
            <w:pPr>
              <w:pStyle w:val="BodyText"/>
            </w:pPr>
            <w:r w:rsidRPr="00C318E2">
              <w:t>Assessment may occur in an operational environment or in an industry-approved simulated work environment. Forms of assessment that are typically used include:</w:t>
            </w:r>
          </w:p>
          <w:p w:rsidR="00000000" w:rsidRPr="00C318E2" w:rsidP="00C318E2">
            <w:pPr>
              <w:pStyle w:val="ListBullet"/>
            </w:pPr>
            <w:r w:rsidRPr="00C318E2">
              <w:t>direct observation</w:t>
            </w:r>
          </w:p>
          <w:p w:rsidR="00000000" w:rsidRPr="00C318E2" w:rsidP="00C318E2">
            <w:pPr>
              <w:pStyle w:val="ListBullet"/>
            </w:pPr>
            <w:r w:rsidRPr="00C318E2">
              <w:t>interviewing the candidate</w:t>
            </w:r>
          </w:p>
          <w:p w:rsidR="00000000" w:rsidRPr="00C318E2" w:rsidP="00C318E2">
            <w:pPr>
              <w:pStyle w:val="ListBullet"/>
            </w:pPr>
            <w:r w:rsidRPr="00C318E2">
              <w:t>journals and workplace documentation</w:t>
            </w:r>
          </w:p>
          <w:p w:rsidR="00000000" w:rsidRPr="00C318E2" w:rsidP="00C318E2">
            <w:pPr>
              <w:pStyle w:val="ListBullet"/>
            </w:pPr>
            <w:r w:rsidRPr="00C318E2">
              <w:t>third party reports from supervisors</w:t>
            </w:r>
          </w:p>
          <w:p w:rsidR="00000000" w:rsidRPr="00C318E2" w:rsidP="00C318E2">
            <w:pPr>
              <w:pStyle w:val="ListBullet"/>
            </w:pPr>
            <w:r w:rsidRPr="00C318E2">
              <w:t>written or oral questions.</w:t>
            </w:r>
          </w:p>
        </w:tc>
      </w:tr>
    </w:tbl>
    <w:p w:rsidR="00000000" w:rsidRPr="00C318E2" w:rsidP="00C318E2">
      <w:pPr>
        <w:pStyle w:val="BodyText"/>
      </w:pPr>
    </w:p>
    <w:p w:rsidR="00000000" w:rsidRPr="00C318E2" w:rsidP="00C318E2">
      <w:pPr>
        <w:pStyle w:val="AllowPageBreak"/>
      </w:pPr>
    </w:p>
    <w:p w:rsidR="00000000" w:rsidRPr="00C318E2" w:rsidP="00C318E2">
      <w:pPr>
        <w:pStyle w:val="Heading1"/>
      </w:pPr>
      <w:bookmarkStart w:id="11" w:name="O_121453"/>
      <w:bookmarkEnd w:id="11"/>
      <w:r w:rsidRPr="00C318E2">
        <w:t>Range Statement</w:t>
      </w:r>
    </w:p>
    <w:tbl>
      <w:tblPr>
        <w:tblW w:w="0" w:type="auto"/>
        <w:tblLayout w:type="fixed"/>
        <w:tblCellMar>
          <w:left w:w="62" w:type="dxa"/>
          <w:right w:w="62" w:type="dxa"/>
        </w:tblCellMar>
        <w:tblLook w:val="0000"/>
      </w:tblPr>
      <w:tblGrid>
        <w:gridCol w:w="2700"/>
        <w:gridCol w:w="5940"/>
      </w:tblGrid>
      <w:tr w:rsidTr="0000116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318E2">
            <w:pPr>
              <w:pStyle w:val="BodyText"/>
              <w:rPr>
                <w:lang w:val="en-NZ"/>
              </w:rPr>
            </w:pPr>
            <w:r w:rsidRPr="00C318E2">
              <w:rPr>
                <w:rStyle w:val="SpecialBold"/>
              </w:rPr>
              <w:t>RANGE STATEMENT</w:t>
            </w:r>
          </w:p>
        </w:tc>
      </w:tr>
      <w:tr w:rsidTr="0000116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318E2">
            <w:pPr>
              <w:pStyle w:val="BodyText"/>
              <w:rPr>
                <w:lang w:val="en-NZ"/>
              </w:rPr>
            </w:pPr>
            <w:r w:rsidRPr="00C318E2">
              <w:t>The Range Statement relates to the Unit of Competen</w:t>
            </w:r>
            <w:r w:rsidRPr="00C318E2">
              <w:t xml:space="preserve">cy as a whole. It allows for different work environments and situations that may affect performance. </w:t>
            </w:r>
            <w:r w:rsidRPr="00C318E2">
              <w:rPr>
                <w:rStyle w:val="BoldandItalics"/>
              </w:rPr>
              <w:t>Bold italicised</w:t>
            </w:r>
            <w:r w:rsidRPr="00C318E2">
              <w:t xml:space="preserve"> wording in the Performance Criteria is detailed below.</w:t>
            </w: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318E2">
            <w:pPr>
              <w:pStyle w:val="BodyText"/>
              <w:rPr>
                <w:lang w:val="en-NZ"/>
              </w:rPr>
            </w:pPr>
            <w:r w:rsidRPr="00C318E2">
              <w:rPr>
                <w:rStyle w:val="SpecialBold"/>
              </w:rPr>
              <w:t>Other calibre weapons may include</w:t>
            </w:r>
            <w:r w:rsidRPr="00C318E2">
              <w:t xml:space="preserve"> </w:t>
            </w:r>
          </w:p>
        </w:tc>
        <w:tc>
          <w:tcPr>
            <w:tcW w:w="594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BodyText"/>
            </w:pPr>
            <w:r w:rsidRPr="00C318E2">
              <w:t>Crew served, and direct and indirect fire weapo</w:t>
            </w:r>
            <w:r w:rsidRPr="00C318E2">
              <w:t>ns</w:t>
            </w:r>
          </w:p>
          <w:p w:rsidR="00000000" w:rsidP="00C318E2">
            <w:pPr>
              <w:pStyle w:val="BodyText"/>
              <w:rPr>
                <w:lang w:val="en-NZ"/>
              </w:rPr>
            </w:pPr>
            <w:r w:rsidRPr="00C318E2">
              <w:t xml:space="preserve">Weapons of calibre larger than 20 mm </w:t>
            </w: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318E2">
            <w:pPr>
              <w:pStyle w:val="BodyText"/>
              <w:rPr>
                <w:lang w:val="en-NZ"/>
              </w:rPr>
            </w:pPr>
            <w:r w:rsidRPr="00C318E2">
              <w:rPr>
                <w:rStyle w:val="SpecialBold"/>
              </w:rPr>
              <w:t>Standard procedures may include</w:t>
            </w:r>
          </w:p>
        </w:tc>
        <w:tc>
          <w:tcPr>
            <w:tcW w:w="594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BodyText"/>
            </w:pPr>
            <w:r w:rsidRPr="00C318E2">
              <w:t>Australian Standards</w:t>
            </w:r>
          </w:p>
          <w:p w:rsidR="00000000" w:rsidRPr="00C318E2" w:rsidP="00C318E2">
            <w:pPr>
              <w:pStyle w:val="BodyText"/>
            </w:pPr>
            <w:r w:rsidRPr="00C318E2">
              <w:t>International standards</w:t>
            </w:r>
          </w:p>
          <w:p w:rsidR="00000000" w:rsidRPr="00C318E2" w:rsidP="00C318E2">
            <w:pPr>
              <w:pStyle w:val="BodyText"/>
            </w:pPr>
            <w:r w:rsidRPr="00C318E2">
              <w:t>Job guides and other publications</w:t>
            </w:r>
          </w:p>
          <w:p w:rsidR="00000000" w:rsidRPr="00C318E2" w:rsidP="00C318E2">
            <w:pPr>
              <w:pStyle w:val="BodyText"/>
            </w:pPr>
            <w:r w:rsidRPr="00C318E2">
              <w:t>Manufacturers' handbooks, industry specifications and technical instructions</w:t>
            </w:r>
          </w:p>
          <w:p w:rsidR="00000000" w:rsidRPr="00C318E2" w:rsidP="00C318E2">
            <w:pPr>
              <w:pStyle w:val="BodyText"/>
            </w:pPr>
            <w:r w:rsidRPr="00C318E2">
              <w:t>OH&amp;S regulations</w:t>
            </w:r>
          </w:p>
          <w:p w:rsidR="00000000" w:rsidRPr="00C318E2" w:rsidP="00C318E2">
            <w:pPr>
              <w:pStyle w:val="BodyText"/>
            </w:pPr>
            <w:r w:rsidRPr="00C318E2">
              <w:t>Organisa</w:t>
            </w:r>
            <w:r w:rsidRPr="00C318E2">
              <w:t>tional policies and procedures</w:t>
            </w:r>
          </w:p>
          <w:p w:rsidR="00000000" w:rsidRPr="00C318E2" w:rsidP="00C318E2">
            <w:pPr>
              <w:pStyle w:val="BodyText"/>
            </w:pPr>
            <w:r w:rsidRPr="00C318E2">
              <w:t>Procedure manuals</w:t>
            </w:r>
          </w:p>
          <w:p w:rsidR="00000000" w:rsidRPr="00C318E2" w:rsidP="00C318E2">
            <w:pPr>
              <w:pStyle w:val="BodyText"/>
            </w:pPr>
            <w:r w:rsidRPr="00C318E2">
              <w:t>Relevant local government by-laws</w:t>
            </w:r>
          </w:p>
          <w:p w:rsidR="00000000" w:rsidRPr="00C318E2" w:rsidP="00C318E2">
            <w:pPr>
              <w:pStyle w:val="BodyText"/>
            </w:pPr>
            <w:r w:rsidRPr="00C318E2">
              <w:t>Relevant state/territory or federal legislation</w:t>
            </w:r>
          </w:p>
          <w:p w:rsidR="00000000" w:rsidRPr="00C318E2" w:rsidP="00C318E2">
            <w:pPr>
              <w:pStyle w:val="BodyText"/>
            </w:pPr>
            <w:r w:rsidRPr="00C318E2">
              <w:t>Standard operating procedures</w:t>
            </w:r>
          </w:p>
          <w:p w:rsidR="00000000" w:rsidP="00C318E2">
            <w:pPr>
              <w:pStyle w:val="BodyText"/>
              <w:rPr>
                <w:lang w:val="en-NZ"/>
              </w:rPr>
            </w:pPr>
            <w:r w:rsidRPr="00C318E2">
              <w:t>Verbal or written directions</w:t>
            </w: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318E2">
            <w:pPr>
              <w:pStyle w:val="BodyText"/>
              <w:rPr>
                <w:lang w:val="en-NZ"/>
              </w:rPr>
            </w:pPr>
            <w:r w:rsidRPr="00C318E2">
              <w:rPr>
                <w:rStyle w:val="SpecialBold"/>
              </w:rPr>
              <w:t>Ammunition and explosive ordnance may include</w:t>
            </w:r>
          </w:p>
        </w:tc>
        <w:tc>
          <w:tcPr>
            <w:tcW w:w="594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BodyText"/>
            </w:pPr>
            <w:r w:rsidRPr="00C318E2">
              <w:t>Anti personnel</w:t>
            </w:r>
          </w:p>
          <w:p w:rsidR="00000000" w:rsidRPr="00C318E2" w:rsidP="00C318E2">
            <w:pPr>
              <w:pStyle w:val="BodyText"/>
            </w:pPr>
            <w:r w:rsidRPr="00C318E2">
              <w:t>Anti</w:t>
            </w:r>
            <w:r w:rsidRPr="00C318E2">
              <w:t xml:space="preserve"> tank</w:t>
            </w:r>
          </w:p>
          <w:p w:rsidR="00000000" w:rsidRPr="00C318E2" w:rsidP="00C318E2">
            <w:pPr>
              <w:pStyle w:val="BodyText"/>
            </w:pPr>
            <w:r w:rsidRPr="00C318E2">
              <w:t>Ball</w:t>
            </w:r>
          </w:p>
          <w:p w:rsidR="00000000" w:rsidRPr="00C318E2" w:rsidP="00C318E2">
            <w:pPr>
              <w:pStyle w:val="BodyText"/>
            </w:pPr>
            <w:r w:rsidRPr="00C318E2">
              <w:t>Blank</w:t>
            </w:r>
          </w:p>
          <w:p w:rsidR="00000000" w:rsidRPr="00C318E2" w:rsidP="00C318E2">
            <w:pPr>
              <w:pStyle w:val="BodyText"/>
            </w:pPr>
            <w:r w:rsidRPr="00C318E2">
              <w:t>Drill</w:t>
            </w:r>
          </w:p>
          <w:p w:rsidR="00000000" w:rsidRPr="00C318E2" w:rsidP="00C318E2">
            <w:pPr>
              <w:pStyle w:val="BodyText"/>
            </w:pPr>
            <w:r w:rsidRPr="00C318E2">
              <w:t>High explosive</w:t>
            </w:r>
          </w:p>
          <w:p w:rsidR="00000000" w:rsidRPr="00C318E2" w:rsidP="00C318E2">
            <w:pPr>
              <w:pStyle w:val="BodyText"/>
            </w:pPr>
            <w:r w:rsidRPr="00C318E2">
              <w:t>Illumination</w:t>
            </w:r>
          </w:p>
          <w:p w:rsidR="00000000" w:rsidRPr="00C318E2" w:rsidP="00C318E2">
            <w:pPr>
              <w:pStyle w:val="BodyText"/>
            </w:pPr>
            <w:r w:rsidRPr="00C318E2">
              <w:t>Improved conventional munitions</w:t>
            </w:r>
          </w:p>
          <w:p w:rsidR="00000000" w:rsidRPr="00C318E2" w:rsidP="00C318E2">
            <w:pPr>
              <w:pStyle w:val="BodyText"/>
            </w:pPr>
            <w:r w:rsidRPr="00C318E2">
              <w:t>Incendiary</w:t>
            </w:r>
          </w:p>
          <w:p w:rsidR="00000000" w:rsidRPr="00C318E2" w:rsidP="00C318E2">
            <w:pPr>
              <w:pStyle w:val="BodyText"/>
            </w:pPr>
            <w:r w:rsidRPr="00C318E2">
              <w:t>Marker</w:t>
            </w:r>
          </w:p>
          <w:p w:rsidR="00000000" w:rsidRPr="00C318E2" w:rsidP="00C318E2">
            <w:pPr>
              <w:pStyle w:val="BodyText"/>
            </w:pPr>
            <w:r w:rsidRPr="00C318E2">
              <w:t>Precision guided munitions</w:t>
            </w:r>
          </w:p>
          <w:p w:rsidR="00000000" w:rsidRPr="00C318E2" w:rsidP="00C318E2">
            <w:pPr>
              <w:pStyle w:val="BodyText"/>
            </w:pPr>
            <w:r w:rsidRPr="00C318E2">
              <w:t>Rocket assist</w:t>
            </w:r>
          </w:p>
          <w:p w:rsidR="00000000" w:rsidRPr="00C318E2" w:rsidP="00C318E2">
            <w:pPr>
              <w:pStyle w:val="BodyText"/>
            </w:pPr>
            <w:r w:rsidRPr="00C318E2">
              <w:t>Smoke base eject/all colours</w:t>
            </w:r>
          </w:p>
          <w:p w:rsidR="00000000" w:rsidRPr="00C318E2" w:rsidP="00C318E2">
            <w:pPr>
              <w:pStyle w:val="BodyText"/>
            </w:pPr>
            <w:r w:rsidRPr="00C318E2">
              <w:t>Tracer</w:t>
            </w:r>
          </w:p>
          <w:p w:rsidR="00000000" w:rsidRPr="00C318E2" w:rsidP="00C318E2">
            <w:pPr>
              <w:pStyle w:val="BodyText"/>
            </w:pPr>
            <w:r w:rsidRPr="00C318E2">
              <w:t>And may be used with fuze types:</w:t>
            </w:r>
          </w:p>
          <w:p w:rsidR="00000000" w:rsidRPr="00C318E2" w:rsidP="00C318E2">
            <w:pPr>
              <w:pStyle w:val="ListBullet"/>
            </w:pPr>
            <w:r w:rsidRPr="00C318E2">
              <w:t>delay</w:t>
            </w:r>
          </w:p>
          <w:p w:rsidR="00000000" w:rsidRPr="00C318E2" w:rsidP="00C318E2">
            <w:pPr>
              <w:pStyle w:val="ListBullet"/>
            </w:pPr>
            <w:r w:rsidRPr="00C318E2">
              <w:t>proximity</w:t>
            </w:r>
          </w:p>
          <w:p w:rsidR="00000000" w:rsidRPr="00C318E2" w:rsidP="00C318E2">
            <w:pPr>
              <w:pStyle w:val="ListBullet"/>
            </w:pPr>
            <w:r w:rsidRPr="00C318E2">
              <w:t>super quick (point detonating/graze)</w:t>
            </w:r>
          </w:p>
          <w:p w:rsidR="00000000" w:rsidP="00C318E2">
            <w:pPr>
              <w:pStyle w:val="ListBullet"/>
              <w:rPr>
                <w:lang w:val="en-NZ"/>
              </w:rPr>
            </w:pPr>
            <w:r w:rsidRPr="00C318E2">
              <w:t>time</w:t>
            </w: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318E2">
            <w:pPr>
              <w:pStyle w:val="BodyText"/>
              <w:rPr>
                <w:lang w:val="en-NZ"/>
              </w:rPr>
            </w:pPr>
            <w:r w:rsidRPr="00C318E2">
              <w:rPr>
                <w:rStyle w:val="SpecialBold"/>
              </w:rPr>
              <w:t>Weapons drills may include</w:t>
            </w:r>
          </w:p>
        </w:tc>
        <w:tc>
          <w:tcPr>
            <w:tcW w:w="594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BodyText"/>
            </w:pPr>
            <w:r w:rsidRPr="00C318E2">
              <w:t>Checking clearances</w:t>
            </w:r>
          </w:p>
          <w:p w:rsidR="00000000" w:rsidRPr="00C318E2" w:rsidP="00C318E2">
            <w:pPr>
              <w:pStyle w:val="BodyText"/>
            </w:pPr>
            <w:r w:rsidRPr="00C318E2">
              <w:t xml:space="preserve">Degrees of weapon readiness </w:t>
            </w:r>
          </w:p>
          <w:p w:rsidR="00000000" w:rsidRPr="00C318E2" w:rsidP="00C318E2">
            <w:pPr>
              <w:pStyle w:val="BodyText"/>
            </w:pPr>
            <w:r w:rsidRPr="00C318E2">
              <w:t>Immediate action and stoppage</w:t>
            </w:r>
          </w:p>
          <w:p w:rsidR="00000000" w:rsidRPr="00C318E2" w:rsidP="00C318E2">
            <w:pPr>
              <w:pStyle w:val="BodyText"/>
            </w:pPr>
            <w:r w:rsidRPr="00C318E2">
              <w:t>Misfires</w:t>
            </w:r>
          </w:p>
          <w:p w:rsidR="00000000" w:rsidRPr="00C318E2" w:rsidP="00C318E2">
            <w:pPr>
              <w:pStyle w:val="BodyText"/>
            </w:pPr>
            <w:r w:rsidRPr="00C318E2">
              <w:t>Safety precautions</w:t>
            </w:r>
          </w:p>
          <w:p w:rsidR="00000000" w:rsidP="00C318E2">
            <w:pPr>
              <w:pStyle w:val="BodyText"/>
              <w:rPr>
                <w:lang w:val="en-NZ"/>
              </w:rPr>
            </w:pPr>
            <w:r w:rsidRPr="00C318E2">
              <w:t>Stripping and assembling</w:t>
            </w: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318E2">
            <w:pPr>
              <w:pStyle w:val="BodyText"/>
              <w:rPr>
                <w:lang w:val="en-NZ"/>
              </w:rPr>
            </w:pPr>
            <w:r w:rsidRPr="00C318E2">
              <w:rPr>
                <w:rStyle w:val="SpecialBold"/>
              </w:rPr>
              <w:t>Static fired refers to</w:t>
            </w:r>
          </w:p>
        </w:tc>
        <w:tc>
          <w:tcPr>
            <w:tcW w:w="5940" w:type="dxa"/>
            <w:tcBorders>
              <w:top w:val="nil"/>
              <w:left w:val="single" w:sz="6" w:space="0" w:color="auto"/>
              <w:bottom w:val="nil"/>
              <w:right w:val="nil"/>
            </w:tcBorders>
            <w:tcMar>
              <w:top w:w="0" w:type="dxa"/>
              <w:left w:w="62" w:type="dxa"/>
              <w:bottom w:w="0" w:type="dxa"/>
              <w:right w:w="62" w:type="dxa"/>
            </w:tcMar>
          </w:tcPr>
          <w:p w:rsidR="00000000" w:rsidP="00C318E2">
            <w:pPr>
              <w:pStyle w:val="BodyText"/>
              <w:rPr>
                <w:lang w:val="en-NZ"/>
              </w:rPr>
            </w:pPr>
            <w:r w:rsidRPr="00C318E2">
              <w:t>The firing of the weapon or munition using a remote firing arrangement and/or holding device</w:t>
            </w: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318E2">
            <w:pPr>
              <w:pStyle w:val="BodyText"/>
              <w:rPr>
                <w:lang w:val="en-NZ"/>
              </w:rPr>
            </w:pPr>
            <w:r w:rsidRPr="00C318E2">
              <w:rPr>
                <w:rStyle w:val="SpecialBold"/>
              </w:rPr>
              <w:t>Person fired refers to</w:t>
            </w:r>
          </w:p>
        </w:tc>
        <w:tc>
          <w:tcPr>
            <w:tcW w:w="5940" w:type="dxa"/>
            <w:tcBorders>
              <w:top w:val="nil"/>
              <w:left w:val="single" w:sz="6" w:space="0" w:color="auto"/>
              <w:bottom w:val="nil"/>
              <w:right w:val="nil"/>
            </w:tcBorders>
            <w:tcMar>
              <w:top w:w="0" w:type="dxa"/>
              <w:left w:w="62" w:type="dxa"/>
              <w:bottom w:w="0" w:type="dxa"/>
              <w:right w:w="62" w:type="dxa"/>
            </w:tcMar>
          </w:tcPr>
          <w:p w:rsidR="00000000" w:rsidP="00C318E2">
            <w:pPr>
              <w:pStyle w:val="BodyText"/>
              <w:rPr>
                <w:lang w:val="en-NZ"/>
              </w:rPr>
            </w:pPr>
            <w:r w:rsidRPr="00C318E2">
              <w:t>The firing of a weapon with the firer holding the weapon and firing it in its design mode</w:t>
            </w: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318E2">
            <w:pPr>
              <w:pStyle w:val="BodyText"/>
              <w:rPr>
                <w:lang w:val="en-NZ"/>
              </w:rPr>
            </w:pPr>
            <w:r w:rsidRPr="00C318E2">
              <w:rPr>
                <w:rStyle w:val="SpecialBold"/>
              </w:rPr>
              <w:t>Incidents may include</w:t>
            </w:r>
          </w:p>
        </w:tc>
        <w:tc>
          <w:tcPr>
            <w:tcW w:w="594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BodyText"/>
            </w:pPr>
            <w:r w:rsidRPr="00C318E2">
              <w:t>Equipment malfunction or d</w:t>
            </w:r>
            <w:r w:rsidRPr="00C318E2">
              <w:t>amage</w:t>
            </w:r>
          </w:p>
          <w:p w:rsidR="00000000" w:rsidRPr="00C318E2" w:rsidP="00C318E2">
            <w:pPr>
              <w:pStyle w:val="BodyText"/>
            </w:pPr>
            <w:r w:rsidRPr="00C318E2">
              <w:t>Procedure difficulty</w:t>
            </w:r>
          </w:p>
          <w:p w:rsidR="00000000" w:rsidRPr="00C318E2" w:rsidP="00C318E2">
            <w:pPr>
              <w:pStyle w:val="BodyText"/>
            </w:pPr>
            <w:r w:rsidRPr="00C318E2">
              <w:t>Safety breaches</w:t>
            </w:r>
          </w:p>
          <w:p w:rsidR="00000000" w:rsidRPr="00C318E2" w:rsidP="00C318E2">
            <w:pPr>
              <w:pStyle w:val="BodyText"/>
            </w:pPr>
            <w:r w:rsidRPr="00C318E2">
              <w:t>Target malfunction</w:t>
            </w:r>
          </w:p>
          <w:p w:rsidR="00000000" w:rsidP="00C318E2">
            <w:pPr>
              <w:pStyle w:val="BodyText"/>
              <w:rPr>
                <w:lang w:val="en-NZ"/>
              </w:rPr>
            </w:pPr>
            <w:r w:rsidRPr="00C318E2">
              <w:t>Weapon or munition malfunction</w:t>
            </w: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318E2">
            <w:pPr>
              <w:pStyle w:val="BodyText"/>
              <w:rPr>
                <w:lang w:val="en-NZ"/>
              </w:rPr>
            </w:pPr>
            <w:r w:rsidRPr="00C318E2">
              <w:rPr>
                <w:rStyle w:val="SpecialBold"/>
              </w:rPr>
              <w:t>Operator maintenance may include</w:t>
            </w:r>
          </w:p>
        </w:tc>
        <w:tc>
          <w:tcPr>
            <w:tcW w:w="594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BodyText"/>
            </w:pPr>
            <w:r w:rsidRPr="00C318E2">
              <w:t xml:space="preserve">Cleaning </w:t>
            </w:r>
          </w:p>
          <w:p w:rsidR="00000000" w:rsidP="00C318E2">
            <w:pPr>
              <w:pStyle w:val="BodyText"/>
              <w:rPr>
                <w:lang w:val="en-NZ"/>
              </w:rPr>
            </w:pPr>
            <w:r w:rsidRPr="00C318E2">
              <w:t>Lubricating</w:t>
            </w: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318E2">
            <w:pPr>
              <w:pStyle w:val="BodyText"/>
              <w:rPr>
                <w:lang w:val="en-NZ"/>
              </w:rPr>
            </w:pPr>
            <w:r w:rsidRPr="00C318E2">
              <w:rPr>
                <w:rStyle w:val="SpecialBold"/>
              </w:rPr>
              <w:t>Defects may include</w:t>
            </w:r>
          </w:p>
        </w:tc>
        <w:tc>
          <w:tcPr>
            <w:tcW w:w="594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BodyText"/>
            </w:pPr>
            <w:r w:rsidRPr="00C318E2">
              <w:t>Corrosion</w:t>
            </w:r>
          </w:p>
          <w:p w:rsidR="00000000" w:rsidRPr="00C318E2" w:rsidP="00C318E2">
            <w:pPr>
              <w:pStyle w:val="BodyText"/>
            </w:pPr>
            <w:r w:rsidRPr="00C318E2">
              <w:t>Cracks</w:t>
            </w:r>
          </w:p>
          <w:p w:rsidR="00000000" w:rsidRPr="00C318E2" w:rsidP="00C318E2">
            <w:pPr>
              <w:pStyle w:val="BodyText"/>
            </w:pPr>
            <w:r w:rsidRPr="00C318E2">
              <w:t>Damaged charge bags</w:t>
            </w:r>
          </w:p>
          <w:p w:rsidR="00000000" w:rsidRPr="00C318E2" w:rsidP="00C318E2">
            <w:pPr>
              <w:pStyle w:val="BodyText"/>
            </w:pPr>
            <w:r w:rsidRPr="00C318E2">
              <w:t>Damaged packing</w:t>
            </w:r>
          </w:p>
          <w:p w:rsidR="00000000" w:rsidRPr="00C318E2" w:rsidP="00C318E2">
            <w:pPr>
              <w:pStyle w:val="BodyText"/>
            </w:pPr>
            <w:r w:rsidRPr="00C318E2">
              <w:t>Damaged weapon parts</w:t>
            </w:r>
          </w:p>
          <w:p w:rsidR="00000000" w:rsidRPr="00C318E2" w:rsidP="00C318E2">
            <w:pPr>
              <w:pStyle w:val="BodyText"/>
            </w:pPr>
            <w:r w:rsidRPr="00C318E2">
              <w:t>Dented cartridge cases</w:t>
            </w:r>
          </w:p>
          <w:p w:rsidR="00000000" w:rsidRPr="00C318E2" w:rsidP="00C318E2">
            <w:pPr>
              <w:pStyle w:val="BodyText"/>
            </w:pPr>
            <w:r w:rsidRPr="00C318E2">
              <w:t>Fluting on cartridge case</w:t>
            </w:r>
          </w:p>
          <w:p w:rsidR="00000000" w:rsidRPr="00C318E2" w:rsidP="00C318E2">
            <w:pPr>
              <w:pStyle w:val="BodyText"/>
            </w:pPr>
            <w:r w:rsidRPr="00C318E2">
              <w:t>Incorrect fuze projectile combinations</w:t>
            </w:r>
          </w:p>
          <w:p w:rsidR="00000000" w:rsidRPr="00C318E2" w:rsidP="00C318E2">
            <w:pPr>
              <w:pStyle w:val="BodyText"/>
            </w:pPr>
            <w:r w:rsidRPr="00C318E2">
              <w:t>Incorrect propellants</w:t>
            </w:r>
          </w:p>
          <w:p w:rsidR="00000000" w:rsidRPr="00C318E2" w:rsidP="00C318E2">
            <w:pPr>
              <w:pStyle w:val="BodyText"/>
            </w:pPr>
            <w:r w:rsidRPr="00C318E2">
              <w:t>Proud or recessed primer</w:t>
            </w:r>
          </w:p>
          <w:p w:rsidR="00000000" w:rsidRPr="00C318E2" w:rsidP="00C318E2">
            <w:pPr>
              <w:pStyle w:val="BodyText"/>
            </w:pPr>
            <w:r w:rsidRPr="00C318E2">
              <w:t>Rust</w:t>
            </w:r>
          </w:p>
          <w:p w:rsidR="00000000" w:rsidP="00C318E2">
            <w:pPr>
              <w:pStyle w:val="BodyText"/>
              <w:rPr>
                <w:lang w:val="en-NZ"/>
              </w:rPr>
            </w:pPr>
            <w:r w:rsidRPr="00C318E2">
              <w:t>Weeping</w:t>
            </w: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318E2">
            <w:pPr>
              <w:pStyle w:val="BodyText"/>
              <w:rPr>
                <w:lang w:val="en-NZ"/>
              </w:rPr>
            </w:pPr>
            <w:r w:rsidRPr="00C318E2">
              <w:rPr>
                <w:rStyle w:val="SpecialBold"/>
              </w:rPr>
              <w:t>Refurbishment may include</w:t>
            </w:r>
          </w:p>
        </w:tc>
        <w:tc>
          <w:tcPr>
            <w:tcW w:w="594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BodyText"/>
            </w:pPr>
            <w:r w:rsidRPr="00C318E2">
              <w:t>Cleaning up of firing points</w:t>
            </w:r>
          </w:p>
          <w:p w:rsidR="00000000" w:rsidRPr="00C318E2" w:rsidP="00C318E2">
            <w:pPr>
              <w:pStyle w:val="BodyText"/>
            </w:pPr>
            <w:r w:rsidRPr="00C318E2">
              <w:t>Cleaning up, repairing or replacing unexploded ordnance</w:t>
            </w:r>
          </w:p>
          <w:p w:rsidR="00000000" w:rsidRPr="00C318E2" w:rsidP="00C318E2">
            <w:pPr>
              <w:pStyle w:val="BodyText"/>
            </w:pPr>
            <w:r w:rsidRPr="00C318E2">
              <w:t>Destroying and/or reporting unexploded ordnance</w:t>
            </w:r>
          </w:p>
          <w:p w:rsidR="00000000" w:rsidP="00C318E2">
            <w:pPr>
              <w:pStyle w:val="BodyText"/>
              <w:rPr>
                <w:lang w:val="en-NZ"/>
              </w:rPr>
            </w:pPr>
            <w:r w:rsidRPr="00C318E2">
              <w:t>Removing and accounting for range stores, produce and ammunition</w:t>
            </w: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318E2">
            <w:pPr>
              <w:pStyle w:val="BodyText"/>
              <w:rPr>
                <w:lang w:val="en-NZ"/>
              </w:rPr>
            </w:pPr>
            <w:r w:rsidRPr="00C318E2">
              <w:rPr>
                <w:rStyle w:val="SpecialBold"/>
              </w:rPr>
              <w:t>Post range practice administration may include</w:t>
            </w:r>
          </w:p>
        </w:tc>
        <w:tc>
          <w:tcPr>
            <w:tcW w:w="594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BodyText"/>
            </w:pPr>
            <w:r w:rsidRPr="00C318E2">
              <w:t>Completing range clearance</w:t>
            </w:r>
          </w:p>
          <w:p w:rsidR="00000000" w:rsidRPr="00C318E2" w:rsidP="00C318E2">
            <w:pPr>
              <w:pStyle w:val="BodyText"/>
            </w:pPr>
            <w:r w:rsidRPr="00C318E2">
              <w:t>Conducting c</w:t>
            </w:r>
            <w:r w:rsidRPr="00C318E2">
              <w:t>learances and inspections</w:t>
            </w:r>
          </w:p>
          <w:p w:rsidR="00000000" w:rsidRPr="00C318E2" w:rsidP="00C318E2">
            <w:pPr>
              <w:pStyle w:val="BodyText"/>
            </w:pPr>
            <w:r w:rsidRPr="00C318E2">
              <w:t xml:space="preserve">Debriefing </w:t>
            </w:r>
          </w:p>
          <w:p w:rsidR="00000000" w:rsidRPr="00C318E2" w:rsidP="00C318E2">
            <w:pPr>
              <w:pStyle w:val="BodyText"/>
            </w:pPr>
            <w:r w:rsidRPr="00C318E2">
              <w:t>Raising of relevant range, training and trade documentation</w:t>
            </w:r>
          </w:p>
          <w:p w:rsidR="00000000" w:rsidP="00C318E2">
            <w:pPr>
              <w:pStyle w:val="BodyText"/>
              <w:rPr>
                <w:lang w:val="en-NZ"/>
              </w:rPr>
            </w:pPr>
            <w:r w:rsidRPr="00C318E2">
              <w:t>Submitting reports, returns and evaluations</w:t>
            </w: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318E2">
            <w:pPr>
              <w:pStyle w:val="BodyText"/>
              <w:rPr>
                <w:lang w:val="en-NZ"/>
              </w:rPr>
            </w:pPr>
            <w:r w:rsidRPr="00C318E2">
              <w:rPr>
                <w:rStyle w:val="SpecialBold"/>
              </w:rPr>
              <w:t>Observations may include</w:t>
            </w:r>
          </w:p>
        </w:tc>
        <w:tc>
          <w:tcPr>
            <w:tcW w:w="594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BodyText"/>
            </w:pPr>
            <w:r w:rsidRPr="00C318E2">
              <w:t>Defects observed</w:t>
            </w:r>
          </w:p>
          <w:p w:rsidR="00000000" w:rsidRPr="00C318E2" w:rsidP="00C318E2">
            <w:pPr>
              <w:pStyle w:val="BodyText"/>
            </w:pPr>
            <w:r w:rsidRPr="00C318E2">
              <w:t>Difficulties or positive occurrences relating to the trial or proof tes</w:t>
            </w:r>
            <w:r w:rsidRPr="00C318E2">
              <w:t>t</w:t>
            </w:r>
          </w:p>
          <w:p w:rsidR="00000000" w:rsidP="00C318E2">
            <w:pPr>
              <w:pStyle w:val="BodyText"/>
              <w:rPr>
                <w:lang w:val="en-NZ"/>
              </w:rPr>
            </w:pPr>
            <w:r w:rsidRPr="00C318E2">
              <w:t>Procedural difficulties</w:t>
            </w:r>
          </w:p>
        </w:tc>
      </w:tr>
      <w:tr w:rsidTr="0000116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single" w:sz="6" w:space="0" w:color="auto"/>
              <w:bottom w:val="nil"/>
              <w:right w:val="nil"/>
            </w:tcBorders>
            <w:tcMar>
              <w:top w:w="0" w:type="dxa"/>
              <w:left w:w="62" w:type="dxa"/>
              <w:bottom w:w="0" w:type="dxa"/>
              <w:right w:w="62" w:type="dxa"/>
            </w:tcMar>
          </w:tcPr>
          <w:p w:rsidR="00000000" w:rsidRPr="00C318E2" w:rsidP="00C318E2">
            <w:pPr>
              <w:pStyle w:val="BodyText"/>
            </w:pPr>
          </w:p>
        </w:tc>
      </w:tr>
    </w:tbl>
    <w:p w:rsidR="00000000" w:rsidRPr="00C318E2" w:rsidP="00C318E2">
      <w:pPr>
        <w:pStyle w:val="BodyText"/>
      </w:pPr>
    </w:p>
    <w:p w:rsidR="00000000" w:rsidRPr="00C318E2" w:rsidP="00C318E2">
      <w:pPr>
        <w:pStyle w:val="AllowPageBreak"/>
      </w:pPr>
    </w:p>
    <w:p w:rsidR="00000000" w:rsidRPr="00C318E2" w:rsidP="00C318E2">
      <w:pPr>
        <w:pStyle w:val="Heading1"/>
      </w:pPr>
      <w:bookmarkStart w:id="12" w:name="O_121454"/>
      <w:bookmarkEnd w:id="12"/>
      <w:r w:rsidRPr="00C318E2">
        <w:t>Unit Sector(s)</w:t>
      </w:r>
    </w:p>
    <w:p w:rsidR="00000000" w:rsidRPr="00C318E2" w:rsidP="00C318E2">
      <w:pPr>
        <w:pStyle w:val="BodyText"/>
      </w:pPr>
      <w:r w:rsidRPr="00C318E2">
        <w:t>Not applicable.</w:t>
      </w:r>
    </w:p>
    <w:p w:rsidR="00000000" w:rsidRPr="00C318E2" w:rsidP="00C318E2"/>
    <w:sectPr w:rsidSect="00C318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8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168" w:rsidP="00001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8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168" w:rsidP="00C318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1168" w:rsidP="00C318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01168" w:rsidP="00C318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8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168" w:rsidP="000011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8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168" w:rsidP="00C318E2">
    <w:pPr>
      <w:pStyle w:val="Header"/>
      <w:framePr w:wrap="around"/>
    </w:pPr>
    <w:r>
      <w:fldChar w:fldCharType="begin"/>
    </w:r>
    <w:r>
      <w:instrText xml:space="preserve"> TITLE   \* MERGEFORMAT </w:instrText>
    </w:r>
    <w:r>
      <w:fldChar w:fldCharType="separate"/>
    </w:r>
    <w:r>
      <w:t>PUADEFEO802A Undertake proof firings of other calibre weapons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1168" w:rsidP="00C318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6EDF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6673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8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18E2"/>
    <w:pPr>
      <w:spacing w:before="360" w:after="60"/>
      <w:outlineLvl w:val="0"/>
    </w:pPr>
    <w:rPr>
      <w:sz w:val="32"/>
    </w:rPr>
  </w:style>
  <w:style w:type="paragraph" w:styleId="Heading2">
    <w:name w:val="heading 2"/>
    <w:basedOn w:val="HeadingBase"/>
    <w:next w:val="BodyText"/>
    <w:link w:val="Heading2Char"/>
    <w:qFormat/>
    <w:rsid w:val="00C318E2"/>
    <w:pPr>
      <w:keepLines/>
      <w:spacing w:before="240" w:after="120"/>
      <w:outlineLvl w:val="1"/>
    </w:pPr>
    <w:rPr>
      <w:sz w:val="28"/>
      <w:szCs w:val="40"/>
    </w:rPr>
  </w:style>
  <w:style w:type="paragraph" w:styleId="Heading3">
    <w:name w:val="heading 3"/>
    <w:basedOn w:val="HeadingBase"/>
    <w:next w:val="BodyText"/>
    <w:link w:val="Heading3Char"/>
    <w:qFormat/>
    <w:rsid w:val="00C318E2"/>
    <w:pPr>
      <w:spacing w:before="180" w:after="120"/>
      <w:outlineLvl w:val="2"/>
    </w:pPr>
    <w:rPr>
      <w:spacing w:val="-10"/>
      <w:kern w:val="32"/>
    </w:rPr>
  </w:style>
  <w:style w:type="paragraph" w:styleId="Heading4">
    <w:name w:val="heading 4"/>
    <w:basedOn w:val="HeadingBase"/>
    <w:next w:val="BodyText"/>
    <w:link w:val="Heading4Char"/>
    <w:qFormat/>
    <w:rsid w:val="00C318E2"/>
    <w:pPr>
      <w:spacing w:before="160" w:after="120"/>
      <w:outlineLvl w:val="3"/>
    </w:pPr>
    <w:rPr>
      <w:sz w:val="22"/>
    </w:rPr>
  </w:style>
  <w:style w:type="paragraph" w:styleId="Heading5">
    <w:name w:val="heading 5"/>
    <w:basedOn w:val="HeadingBase"/>
    <w:next w:val="Normal"/>
    <w:link w:val="Heading5Char"/>
    <w:qFormat/>
    <w:rsid w:val="00C318E2"/>
    <w:pPr>
      <w:spacing w:before="80"/>
      <w:outlineLvl w:val="4"/>
    </w:pPr>
    <w:rPr>
      <w:color w:val="918585"/>
      <w:sz w:val="20"/>
    </w:rPr>
  </w:style>
  <w:style w:type="paragraph" w:styleId="Heading6">
    <w:name w:val="heading 6"/>
    <w:basedOn w:val="HeadingBase"/>
    <w:next w:val="Normal"/>
    <w:link w:val="Heading6Char"/>
    <w:qFormat/>
    <w:rsid w:val="00C318E2"/>
    <w:pPr>
      <w:spacing w:before="60"/>
      <w:outlineLvl w:val="5"/>
    </w:pPr>
    <w:rPr>
      <w:color w:val="918585"/>
      <w:sz w:val="20"/>
    </w:rPr>
  </w:style>
  <w:style w:type="paragraph" w:styleId="Heading7">
    <w:name w:val="heading 7"/>
    <w:basedOn w:val="Normal"/>
    <w:next w:val="Normal"/>
    <w:link w:val="Heading7Char"/>
    <w:qFormat/>
    <w:rsid w:val="00C318E2"/>
    <w:pPr>
      <w:ind w:left="720"/>
      <w:outlineLvl w:val="6"/>
    </w:pPr>
    <w:rPr>
      <w:i/>
    </w:rPr>
  </w:style>
  <w:style w:type="paragraph" w:styleId="Heading8">
    <w:name w:val="heading 8"/>
    <w:basedOn w:val="Normal"/>
    <w:next w:val="Normal"/>
    <w:link w:val="Heading8Char"/>
    <w:qFormat/>
    <w:rsid w:val="00C318E2"/>
    <w:pPr>
      <w:ind w:left="720"/>
      <w:outlineLvl w:val="7"/>
    </w:pPr>
    <w:rPr>
      <w:i/>
    </w:rPr>
  </w:style>
  <w:style w:type="paragraph" w:styleId="Heading9">
    <w:name w:val="heading 9"/>
    <w:basedOn w:val="Normal"/>
    <w:next w:val="Normal"/>
    <w:link w:val="Heading9Char"/>
    <w:qFormat/>
    <w:rsid w:val="00C318E2"/>
    <w:pPr>
      <w:ind w:left="720"/>
      <w:outlineLvl w:val="8"/>
    </w:pPr>
    <w:rPr>
      <w:i/>
    </w:rPr>
  </w:style>
  <w:style w:type="character" w:default="1" w:styleId="DefaultParagraphFont">
    <w:name w:val="Default Paragraph Font"/>
    <w:uiPriority w:val="1"/>
    <w:unhideWhenUsed/>
    <w:rsid w:val="00C318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8E2"/>
  </w:style>
  <w:style w:type="character" w:customStyle="1" w:styleId="Heading1Char">
    <w:name w:val="Heading 1 Char"/>
    <w:basedOn w:val="DefaultParagraphFont"/>
    <w:link w:val="Heading1"/>
    <w:rsid w:val="00C318E2"/>
    <w:rPr>
      <w:rFonts w:ascii="Times New Roman" w:eastAsia="Times New Roman" w:hAnsi="Times New Roman" w:cs="Times New Roman"/>
      <w:b/>
      <w:sz w:val="32"/>
      <w:szCs w:val="20"/>
      <w:lang w:eastAsia="en-US"/>
    </w:rPr>
  </w:style>
  <w:style w:type="paragraph" w:styleId="BodyText">
    <w:name w:val="Body Text"/>
    <w:basedOn w:val="Normal"/>
    <w:link w:val="BodyTextChar"/>
    <w:rsid w:val="00C318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18E2"/>
    <w:rPr>
      <w:rFonts w:ascii="Times New Roman" w:eastAsia="Times New Roman" w:hAnsi="Times New Roman" w:cs="Times New Roman"/>
      <w:sz w:val="24"/>
      <w:lang w:val="en-US" w:eastAsia="en-US"/>
    </w:rPr>
  </w:style>
  <w:style w:type="paragraph" w:styleId="Footer">
    <w:name w:val="footer"/>
    <w:basedOn w:val="Normal"/>
    <w:link w:val="FooterChar"/>
    <w:rsid w:val="00C318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8E2"/>
    <w:rPr>
      <w:rFonts w:ascii="Times New Roman" w:eastAsia="Times New Roman" w:hAnsi="Times New Roman" w:cs="Times New Roman"/>
      <w:sz w:val="16"/>
      <w:lang w:val="en-US" w:eastAsia="en-US"/>
    </w:rPr>
  </w:style>
  <w:style w:type="paragraph" w:styleId="List">
    <w:name w:val="List"/>
    <w:basedOn w:val="BodyText"/>
    <w:next w:val="BodyText"/>
    <w:rsid w:val="00C318E2"/>
    <w:pPr>
      <w:tabs>
        <w:tab w:val="left" w:pos="340"/>
      </w:tabs>
      <w:spacing w:before="60" w:after="60"/>
      <w:ind w:left="340" w:hanging="340"/>
    </w:pPr>
  </w:style>
  <w:style w:type="paragraph" w:styleId="ListBullet">
    <w:name w:val="List Bullet"/>
    <w:basedOn w:val="List"/>
    <w:rsid w:val="00C318E2"/>
    <w:pPr>
      <w:numPr>
        <w:numId w:val="12"/>
      </w:numPr>
      <w:tabs>
        <w:tab w:val="clear" w:pos="340"/>
      </w:tabs>
      <w:spacing w:before="40" w:after="40"/>
    </w:pPr>
  </w:style>
  <w:style w:type="character" w:customStyle="1" w:styleId="SpecialBold">
    <w:name w:val="Special Bold"/>
    <w:basedOn w:val="DefaultParagraphFont"/>
    <w:rsid w:val="00C318E2"/>
    <w:rPr>
      <w:b/>
      <w:spacing w:val="0"/>
    </w:rPr>
  </w:style>
  <w:style w:type="paragraph" w:styleId="Header">
    <w:name w:val="header"/>
    <w:basedOn w:val="Normal"/>
    <w:link w:val="HeaderChar"/>
    <w:rsid w:val="00C318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8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18E2"/>
    <w:pPr>
      <w:spacing w:before="240" w:after="120"/>
      <w:outlineLvl w:val="0"/>
    </w:pPr>
    <w:rPr>
      <w:rFonts w:ascii="Times New Roman" w:hAnsi="Times New Roman"/>
      <w:b/>
      <w:sz w:val="28"/>
    </w:rPr>
  </w:style>
  <w:style w:type="paragraph" w:customStyle="1" w:styleId="AllowPageBreak">
    <w:name w:val="AllowPageBreak"/>
    <w:rsid w:val="00C318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18E2"/>
    <w:pPr>
      <w:tabs>
        <w:tab w:val="left" w:pos="680"/>
      </w:tabs>
      <w:spacing w:before="60" w:after="60"/>
      <w:ind w:left="680" w:hanging="340"/>
    </w:pPr>
  </w:style>
  <w:style w:type="character" w:customStyle="1" w:styleId="BoldandItalics">
    <w:name w:val="Bold and Italics"/>
    <w:qFormat/>
    <w:rsid w:val="00C318E2"/>
    <w:rPr>
      <w:b/>
      <w:i/>
      <w:u w:val="none"/>
    </w:rPr>
  </w:style>
  <w:style w:type="character" w:customStyle="1" w:styleId="Heading2Char">
    <w:name w:val="Heading 2 Char"/>
    <w:basedOn w:val="DefaultParagraphFont"/>
    <w:link w:val="Heading2"/>
    <w:rsid w:val="00C318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8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8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8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8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8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18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18E2"/>
    <w:rPr>
      <w:rFonts w:ascii="Courier New" w:eastAsia="Times New Roman" w:hAnsi="Courier New" w:cs="Times New Roman"/>
      <w:i/>
      <w:szCs w:val="20"/>
      <w:lang w:val="en-US" w:eastAsia="en-US"/>
    </w:rPr>
  </w:style>
  <w:style w:type="paragraph" w:customStyle="1" w:styleId="HeadingBase">
    <w:name w:val="Heading Base"/>
    <w:rsid w:val="00C318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8E2"/>
    <w:pPr>
      <w:tabs>
        <w:tab w:val="right" w:leader="dot" w:pos="9072"/>
      </w:tabs>
      <w:ind w:left="567"/>
    </w:pPr>
    <w:rPr>
      <w:szCs w:val="22"/>
    </w:rPr>
  </w:style>
  <w:style w:type="paragraph" w:customStyle="1" w:styleId="TOCBase">
    <w:name w:val="TOC Base"/>
    <w:rsid w:val="00C318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8E2"/>
    <w:pPr>
      <w:tabs>
        <w:tab w:val="right" w:leader="dot" w:pos="9072"/>
      </w:tabs>
      <w:spacing w:before="40" w:after="40"/>
      <w:ind w:left="284"/>
    </w:pPr>
    <w:rPr>
      <w:rFonts w:ascii="Times New Roman" w:hAnsi="Times New Roman"/>
    </w:rPr>
  </w:style>
  <w:style w:type="paragraph" w:styleId="TOC1">
    <w:name w:val="toc 1"/>
    <w:basedOn w:val="TOCBase"/>
    <w:next w:val="Normal"/>
    <w:rsid w:val="00C318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18E2"/>
    <w:pPr>
      <w:spacing w:before="5040"/>
      <w:jc w:val="center"/>
    </w:pPr>
    <w:rPr>
      <w:sz w:val="48"/>
      <w:szCs w:val="72"/>
      <w:lang w:val="en-US"/>
    </w:rPr>
  </w:style>
  <w:style w:type="character" w:customStyle="1" w:styleId="TitleChar">
    <w:name w:val="Title Char"/>
    <w:basedOn w:val="DefaultParagraphFont"/>
    <w:link w:val="Title"/>
    <w:rsid w:val="00C318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8E2"/>
    <w:pPr>
      <w:tabs>
        <w:tab w:val="left" w:pos="3600"/>
        <w:tab w:val="left" w:pos="3958"/>
      </w:tabs>
    </w:pPr>
  </w:style>
  <w:style w:type="paragraph" w:customStyle="1" w:styleId="Note">
    <w:name w:val="Note"/>
    <w:basedOn w:val="BodyText"/>
    <w:rsid w:val="00C318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8E2"/>
    <w:pPr>
      <w:framePr w:wrap="auto" w:hAnchor="text" w:y="6049"/>
    </w:pPr>
    <w:rPr>
      <w:color w:val="000000"/>
      <w:sz w:val="40"/>
    </w:rPr>
  </w:style>
  <w:style w:type="paragraph" w:customStyle="1" w:styleId="TOCTitle">
    <w:name w:val="TOCTitle"/>
    <w:basedOn w:val="Heading1"/>
    <w:rsid w:val="00C318E2"/>
    <w:pPr>
      <w:spacing w:after="240"/>
      <w:jc w:val="center"/>
      <w:outlineLvl w:val="9"/>
    </w:pPr>
    <w:rPr>
      <w:caps/>
    </w:rPr>
  </w:style>
  <w:style w:type="paragraph" w:customStyle="1" w:styleId="Version">
    <w:name w:val="Version"/>
    <w:rsid w:val="00C318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18E2"/>
    <w:pPr>
      <w:numPr>
        <w:numId w:val="13"/>
      </w:numPr>
      <w:tabs>
        <w:tab w:val="clear" w:pos="680"/>
      </w:tabs>
    </w:pPr>
  </w:style>
  <w:style w:type="paragraph" w:styleId="Index1">
    <w:name w:val="index 1"/>
    <w:basedOn w:val="Normal"/>
    <w:next w:val="Normal"/>
    <w:semiHidden/>
    <w:rsid w:val="00C318E2"/>
    <w:pPr>
      <w:keepNext w:val="0"/>
      <w:tabs>
        <w:tab w:val="right" w:pos="4176"/>
      </w:tabs>
      <w:ind w:left="198" w:hanging="198"/>
    </w:pPr>
    <w:rPr>
      <w:rFonts w:ascii="Garamond" w:hAnsi="Garamond"/>
    </w:rPr>
  </w:style>
  <w:style w:type="paragraph" w:styleId="IndexHeading">
    <w:name w:val="index heading"/>
    <w:basedOn w:val="Normal"/>
    <w:next w:val="Index1"/>
    <w:semiHidden/>
    <w:rsid w:val="00C318E2"/>
    <w:pPr>
      <w:spacing w:before="120" w:after="120"/>
    </w:pPr>
    <w:rPr>
      <w:rFonts w:ascii="Arial" w:hAnsi="Arial"/>
      <w:b/>
      <w:color w:val="918585"/>
      <w:sz w:val="24"/>
    </w:rPr>
  </w:style>
  <w:style w:type="paragraph" w:customStyle="1" w:styleId="Chapter">
    <w:name w:val="Chapter"/>
    <w:basedOn w:val="Normal"/>
    <w:rsid w:val="00C318E2"/>
    <w:pPr>
      <w:spacing w:before="240"/>
    </w:pPr>
    <w:rPr>
      <w:rFonts w:ascii="Times New Roman" w:hAnsi="Times New Roman"/>
      <w:smallCaps/>
      <w:spacing w:val="80"/>
      <w:sz w:val="28"/>
    </w:rPr>
  </w:style>
  <w:style w:type="paragraph" w:customStyle="1" w:styleId="InChapter">
    <w:name w:val="InChapter"/>
    <w:basedOn w:val="Heading3"/>
    <w:rsid w:val="00C318E2"/>
    <w:pPr>
      <w:spacing w:after="240"/>
      <w:outlineLvl w:val="9"/>
    </w:pPr>
    <w:rPr>
      <w:noProof/>
    </w:rPr>
  </w:style>
  <w:style w:type="paragraph" w:styleId="Index2">
    <w:name w:val="index 2"/>
    <w:basedOn w:val="Normal"/>
    <w:next w:val="Normal"/>
    <w:semiHidden/>
    <w:rsid w:val="00C318E2"/>
    <w:pPr>
      <w:tabs>
        <w:tab w:val="right" w:pos="4176"/>
      </w:tabs>
      <w:ind w:left="568" w:hanging="284"/>
    </w:pPr>
    <w:rPr>
      <w:rFonts w:ascii="Garamond" w:hAnsi="Garamond"/>
    </w:rPr>
  </w:style>
  <w:style w:type="paragraph" w:customStyle="1" w:styleId="Byline">
    <w:name w:val="Byline"/>
    <w:rsid w:val="00C318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8E2"/>
    <w:pPr>
      <w:tabs>
        <w:tab w:val="clear" w:pos="3600"/>
        <w:tab w:val="clear" w:pos="3958"/>
      </w:tabs>
      <w:jc w:val="right"/>
    </w:pPr>
  </w:style>
  <w:style w:type="character" w:styleId="Emphasis">
    <w:name w:val="Emphasis"/>
    <w:basedOn w:val="DefaultParagraphFont"/>
    <w:qFormat/>
    <w:rsid w:val="00C318E2"/>
    <w:rPr>
      <w:i/>
    </w:rPr>
  </w:style>
  <w:style w:type="paragraph" w:styleId="Caption">
    <w:name w:val="caption"/>
    <w:basedOn w:val="BodyText"/>
    <w:next w:val="Normal"/>
    <w:qFormat/>
    <w:rsid w:val="00C318E2"/>
    <w:pPr>
      <w:framePr w:w="2268" w:hSpace="181" w:vSpace="181" w:wrap="around" w:vAnchor="text" w:hAnchor="page" w:x="1135" w:y="285" w:anchorLock="1"/>
    </w:pPr>
    <w:rPr>
      <w:i/>
    </w:rPr>
  </w:style>
  <w:style w:type="paragraph" w:customStyle="1" w:styleId="MiniTOCTitle">
    <w:name w:val="MiniTOCTitle"/>
    <w:basedOn w:val="Heading4"/>
    <w:rsid w:val="00C318E2"/>
    <w:pPr>
      <w:spacing w:before="240"/>
      <w:outlineLvl w:val="9"/>
    </w:pPr>
    <w:rPr>
      <w:noProof/>
      <w:sz w:val="24"/>
    </w:rPr>
  </w:style>
  <w:style w:type="paragraph" w:customStyle="1" w:styleId="MiniTOCItem">
    <w:name w:val="MiniTOCItem"/>
    <w:basedOn w:val="ListBullet"/>
    <w:rsid w:val="00C318E2"/>
    <w:pPr>
      <w:numPr>
        <w:numId w:val="0"/>
      </w:numPr>
      <w:tabs>
        <w:tab w:val="right" w:leader="dot" w:pos="6521"/>
      </w:tabs>
      <w:spacing w:before="0" w:after="0"/>
    </w:pPr>
  </w:style>
  <w:style w:type="paragraph" w:customStyle="1" w:styleId="TOFTitle">
    <w:name w:val="TOFTitle"/>
    <w:basedOn w:val="TOCTitle"/>
    <w:rsid w:val="00C318E2"/>
  </w:style>
  <w:style w:type="paragraph" w:styleId="TableofFigures">
    <w:name w:val="table of figures"/>
    <w:basedOn w:val="Normal"/>
    <w:next w:val="Normal"/>
    <w:semiHidden/>
    <w:rsid w:val="00C318E2"/>
    <w:pPr>
      <w:tabs>
        <w:tab w:val="right" w:leader="dot" w:pos="9072"/>
      </w:tabs>
      <w:ind w:left="970" w:hanging="403"/>
    </w:pPr>
    <w:rPr>
      <w:rFonts w:ascii="Times New Roman" w:hAnsi="Times New Roman"/>
      <w:b/>
    </w:rPr>
  </w:style>
  <w:style w:type="paragraph" w:styleId="ListNumber">
    <w:name w:val="List Number"/>
    <w:basedOn w:val="List"/>
    <w:rsid w:val="00C318E2"/>
    <w:pPr>
      <w:numPr>
        <w:numId w:val="10"/>
      </w:numPr>
    </w:pPr>
  </w:style>
  <w:style w:type="character" w:customStyle="1" w:styleId="WingdingSymbols">
    <w:name w:val="Wingding Symbols"/>
    <w:rsid w:val="00C318E2"/>
    <w:rPr>
      <w:rFonts w:ascii="Wingdings" w:hAnsi="Wingdings"/>
    </w:rPr>
  </w:style>
  <w:style w:type="paragraph" w:customStyle="1" w:styleId="TableHeading">
    <w:name w:val="Table Heading"/>
    <w:basedOn w:val="HeadingBase"/>
    <w:rsid w:val="00C318E2"/>
    <w:pPr>
      <w:keepLines/>
      <w:pBdr>
        <w:bottom w:val="single" w:sz="6" w:space="1" w:color="918585"/>
      </w:pBdr>
      <w:spacing w:before="240"/>
    </w:pPr>
  </w:style>
  <w:style w:type="character" w:customStyle="1" w:styleId="HotSpot">
    <w:name w:val="HotSpot"/>
    <w:rsid w:val="00C318E2"/>
    <w:rPr>
      <w:color w:val="0033CC"/>
      <w:u w:val="none"/>
    </w:rPr>
  </w:style>
  <w:style w:type="paragraph" w:customStyle="1" w:styleId="BodyTextRight">
    <w:name w:val="Body Text Right"/>
    <w:basedOn w:val="BodyText"/>
    <w:rsid w:val="00C318E2"/>
    <w:pPr>
      <w:spacing w:before="0" w:after="0"/>
      <w:jc w:val="right"/>
    </w:pPr>
  </w:style>
  <w:style w:type="paragraph" w:styleId="Index3">
    <w:name w:val="index 3"/>
    <w:basedOn w:val="ListNumber2"/>
    <w:next w:val="Normal"/>
    <w:semiHidden/>
    <w:rsid w:val="00C318E2"/>
    <w:pPr>
      <w:numPr>
        <w:numId w:val="0"/>
      </w:numPr>
      <w:tabs>
        <w:tab w:val="right" w:leader="dot" w:pos="4176"/>
      </w:tabs>
    </w:pPr>
  </w:style>
  <w:style w:type="paragraph" w:styleId="ListNumber2">
    <w:name w:val="List Number 2"/>
    <w:basedOn w:val="List2"/>
    <w:rsid w:val="00C318E2"/>
    <w:pPr>
      <w:numPr>
        <w:numId w:val="9"/>
      </w:numPr>
      <w:tabs>
        <w:tab w:val="clear" w:pos="1060"/>
      </w:tabs>
    </w:pPr>
  </w:style>
  <w:style w:type="paragraph" w:customStyle="1" w:styleId="MarginNote">
    <w:name w:val="Margin Note"/>
    <w:basedOn w:val="BodyText"/>
    <w:rsid w:val="00C318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8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8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18E2"/>
    <w:rPr>
      <w:sz w:val="32"/>
    </w:rPr>
  </w:style>
  <w:style w:type="paragraph" w:customStyle="1" w:styleId="HeadingProcedure">
    <w:name w:val="Heading Procedure"/>
    <w:basedOn w:val="HeadingBase"/>
    <w:next w:val="Normal"/>
    <w:rsid w:val="00C318E2"/>
    <w:pPr>
      <w:tabs>
        <w:tab w:val="left" w:pos="0"/>
      </w:tabs>
      <w:spacing w:before="120" w:after="60"/>
    </w:pPr>
    <w:rPr>
      <w:i/>
      <w:color w:val="918585"/>
      <w:sz w:val="22"/>
    </w:rPr>
  </w:style>
  <w:style w:type="paragraph" w:customStyle="1" w:styleId="TableBodyText">
    <w:name w:val="Table Body Text"/>
    <w:basedOn w:val="BodyText"/>
    <w:rsid w:val="00C318E2"/>
    <w:pPr>
      <w:spacing w:before="60" w:after="60"/>
    </w:pPr>
  </w:style>
  <w:style w:type="paragraph" w:styleId="ListContinue">
    <w:name w:val="List Continue"/>
    <w:basedOn w:val="List"/>
    <w:rsid w:val="00C318E2"/>
    <w:pPr>
      <w:ind w:firstLine="0"/>
    </w:pPr>
  </w:style>
  <w:style w:type="paragraph" w:customStyle="1" w:styleId="ListNote">
    <w:name w:val="List Note"/>
    <w:basedOn w:val="List"/>
    <w:rsid w:val="00C318E2"/>
    <w:pPr>
      <w:pBdr>
        <w:top w:val="single" w:sz="6" w:space="2" w:color="918585"/>
        <w:bottom w:val="single" w:sz="6" w:space="2" w:color="918585"/>
      </w:pBdr>
      <w:tabs>
        <w:tab w:val="left" w:pos="1021"/>
      </w:tabs>
      <w:ind w:firstLine="0"/>
    </w:pPr>
  </w:style>
  <w:style w:type="paragraph" w:customStyle="1" w:styleId="Warning">
    <w:name w:val="Warning"/>
    <w:basedOn w:val="BodyText"/>
    <w:rsid w:val="00C318E2"/>
    <w:pPr>
      <w:shd w:val="clear" w:color="auto" w:fill="D9D9D9"/>
      <w:tabs>
        <w:tab w:val="left" w:pos="992"/>
      </w:tabs>
      <w:ind w:left="119" w:right="119"/>
    </w:pPr>
    <w:rPr>
      <w:sz w:val="20"/>
    </w:rPr>
  </w:style>
  <w:style w:type="paragraph" w:customStyle="1" w:styleId="MarginIcons">
    <w:name w:val="Margin Icons"/>
    <w:basedOn w:val="BodyText"/>
    <w:rsid w:val="00C318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8E2"/>
    <w:rPr>
      <w:rFonts w:ascii="Courier New" w:hAnsi="Courier New"/>
    </w:rPr>
  </w:style>
  <w:style w:type="paragraph" w:customStyle="1" w:styleId="NoteBullet">
    <w:name w:val="Note Bullet"/>
    <w:basedOn w:val="Note"/>
    <w:rsid w:val="00C318E2"/>
    <w:pPr>
      <w:tabs>
        <w:tab w:val="clear" w:pos="680"/>
      </w:tabs>
      <w:spacing w:before="60" w:after="60"/>
    </w:pPr>
  </w:style>
  <w:style w:type="paragraph" w:customStyle="1" w:styleId="SubHeading2">
    <w:name w:val="SubHeading2"/>
    <w:basedOn w:val="HeadingBase"/>
    <w:rsid w:val="00C318E2"/>
    <w:pPr>
      <w:spacing w:before="240" w:after="60"/>
    </w:pPr>
    <w:rPr>
      <w:sz w:val="20"/>
    </w:rPr>
  </w:style>
  <w:style w:type="paragraph" w:customStyle="1" w:styleId="SubHeading1">
    <w:name w:val="SubHeading1"/>
    <w:basedOn w:val="HeadingBase"/>
    <w:rsid w:val="00C318E2"/>
    <w:pPr>
      <w:spacing w:before="240" w:after="60"/>
    </w:pPr>
    <w:rPr>
      <w:color w:val="918585"/>
      <w:sz w:val="22"/>
    </w:rPr>
  </w:style>
  <w:style w:type="paragraph" w:customStyle="1" w:styleId="SideHeading">
    <w:name w:val="Side Heading"/>
    <w:basedOn w:val="HeadingBase"/>
    <w:rsid w:val="00C318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8E2"/>
    <w:pPr>
      <w:tabs>
        <w:tab w:val="num" w:pos="360"/>
      </w:tabs>
    </w:pPr>
  </w:style>
  <w:style w:type="paragraph" w:styleId="PlainText">
    <w:name w:val="Plain Text"/>
    <w:basedOn w:val="Normal"/>
    <w:link w:val="PlainTextChar"/>
    <w:rsid w:val="00C318E2"/>
    <w:rPr>
      <w:sz w:val="20"/>
    </w:rPr>
  </w:style>
  <w:style w:type="character" w:customStyle="1" w:styleId="PlainTextChar">
    <w:name w:val="Plain Text Char"/>
    <w:basedOn w:val="DefaultParagraphFont"/>
    <w:link w:val="PlainText"/>
    <w:rsid w:val="00C318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18E2"/>
    <w:rPr>
      <w:b/>
      <w:smallCaps/>
    </w:rPr>
  </w:style>
  <w:style w:type="paragraph" w:customStyle="1" w:styleId="TableListNumber">
    <w:name w:val="Table List Number"/>
    <w:basedOn w:val="ListNumber"/>
    <w:rsid w:val="00C318E2"/>
    <w:pPr>
      <w:numPr>
        <w:numId w:val="0"/>
      </w:numPr>
    </w:pPr>
  </w:style>
  <w:style w:type="paragraph" w:styleId="TOC4">
    <w:name w:val="toc 4"/>
    <w:basedOn w:val="TOCBase"/>
    <w:next w:val="Normal"/>
    <w:semiHidden/>
    <w:rsid w:val="00C318E2"/>
    <w:pPr>
      <w:tabs>
        <w:tab w:val="right" w:leader="dot" w:pos="9071"/>
      </w:tabs>
      <w:ind w:left="1701"/>
    </w:pPr>
  </w:style>
  <w:style w:type="paragraph" w:customStyle="1" w:styleId="ListAlpha">
    <w:name w:val="List Alpha"/>
    <w:basedOn w:val="List"/>
    <w:rsid w:val="00C318E2"/>
    <w:pPr>
      <w:numPr>
        <w:numId w:val="8"/>
      </w:numPr>
    </w:pPr>
  </w:style>
  <w:style w:type="paragraph" w:customStyle="1" w:styleId="ListAlpha2">
    <w:name w:val="List Alpha 2"/>
    <w:basedOn w:val="List2"/>
    <w:rsid w:val="00C318E2"/>
    <w:pPr>
      <w:numPr>
        <w:numId w:val="7"/>
      </w:numPr>
    </w:pPr>
  </w:style>
  <w:style w:type="paragraph" w:styleId="List3">
    <w:name w:val="List 3"/>
    <w:basedOn w:val="BodyText"/>
    <w:rsid w:val="00C318E2"/>
    <w:pPr>
      <w:tabs>
        <w:tab w:val="left" w:pos="1021"/>
      </w:tabs>
      <w:spacing w:before="60" w:after="60"/>
      <w:ind w:left="1020" w:hanging="340"/>
    </w:pPr>
  </w:style>
  <w:style w:type="paragraph" w:styleId="List4">
    <w:name w:val="List 4"/>
    <w:basedOn w:val="BodyText"/>
    <w:rsid w:val="00C318E2"/>
    <w:pPr>
      <w:tabs>
        <w:tab w:val="left" w:pos="1361"/>
      </w:tabs>
      <w:spacing w:before="60" w:after="60"/>
      <w:ind w:left="1361" w:hanging="340"/>
    </w:pPr>
  </w:style>
  <w:style w:type="paragraph" w:styleId="List5">
    <w:name w:val="List 5"/>
    <w:basedOn w:val="BodyText"/>
    <w:rsid w:val="00C318E2"/>
    <w:pPr>
      <w:tabs>
        <w:tab w:val="left" w:pos="1701"/>
      </w:tabs>
      <w:spacing w:before="60" w:after="60"/>
      <w:ind w:left="1701" w:hanging="340"/>
    </w:pPr>
  </w:style>
  <w:style w:type="paragraph" w:styleId="ListBullet3">
    <w:name w:val="List Bullet 3"/>
    <w:basedOn w:val="List3"/>
    <w:rsid w:val="00C318E2"/>
    <w:pPr>
      <w:numPr>
        <w:numId w:val="14"/>
      </w:numPr>
      <w:tabs>
        <w:tab w:val="clear" w:pos="1021"/>
      </w:tabs>
      <w:ind w:left="1037" w:hanging="357"/>
    </w:pPr>
  </w:style>
  <w:style w:type="paragraph" w:styleId="ListBullet4">
    <w:name w:val="List Bullet 4"/>
    <w:basedOn w:val="List4"/>
    <w:rsid w:val="00C318E2"/>
    <w:pPr>
      <w:numPr>
        <w:numId w:val="2"/>
      </w:numPr>
    </w:pPr>
  </w:style>
  <w:style w:type="paragraph" w:styleId="ListBullet5">
    <w:name w:val="List Bullet 5"/>
    <w:basedOn w:val="List5"/>
    <w:rsid w:val="00C318E2"/>
    <w:pPr>
      <w:numPr>
        <w:numId w:val="3"/>
      </w:numPr>
    </w:pPr>
  </w:style>
  <w:style w:type="paragraph" w:styleId="ListContinue2">
    <w:name w:val="List Continue 2"/>
    <w:basedOn w:val="List2"/>
    <w:rsid w:val="00C318E2"/>
    <w:pPr>
      <w:ind w:firstLine="0"/>
    </w:pPr>
  </w:style>
  <w:style w:type="paragraph" w:styleId="ListContinue3">
    <w:name w:val="List Continue 3"/>
    <w:basedOn w:val="List3"/>
    <w:rsid w:val="00C318E2"/>
    <w:pPr>
      <w:ind w:left="1021" w:firstLine="0"/>
    </w:pPr>
  </w:style>
  <w:style w:type="paragraph" w:styleId="ListContinue4">
    <w:name w:val="List Continue 4"/>
    <w:basedOn w:val="List4"/>
    <w:rsid w:val="00C318E2"/>
    <w:pPr>
      <w:ind w:firstLine="0"/>
    </w:pPr>
  </w:style>
  <w:style w:type="paragraph" w:styleId="ListContinue5">
    <w:name w:val="List Continue 5"/>
    <w:basedOn w:val="List5"/>
    <w:rsid w:val="00C318E2"/>
    <w:pPr>
      <w:ind w:firstLine="0"/>
    </w:pPr>
  </w:style>
  <w:style w:type="paragraph" w:styleId="ListNumber3">
    <w:name w:val="List Number 3"/>
    <w:basedOn w:val="List3"/>
    <w:rsid w:val="00C318E2"/>
    <w:pPr>
      <w:numPr>
        <w:numId w:val="4"/>
      </w:numPr>
    </w:pPr>
  </w:style>
  <w:style w:type="paragraph" w:styleId="ListNumber4">
    <w:name w:val="List Number 4"/>
    <w:basedOn w:val="List4"/>
    <w:rsid w:val="00C318E2"/>
    <w:pPr>
      <w:numPr>
        <w:numId w:val="5"/>
      </w:numPr>
    </w:pPr>
  </w:style>
  <w:style w:type="paragraph" w:styleId="ListNumber5">
    <w:name w:val="List Number 5"/>
    <w:basedOn w:val="List5"/>
    <w:rsid w:val="00C318E2"/>
    <w:pPr>
      <w:numPr>
        <w:numId w:val="6"/>
      </w:numPr>
    </w:pPr>
  </w:style>
  <w:style w:type="paragraph" w:styleId="BlockText">
    <w:name w:val="Block Text"/>
    <w:basedOn w:val="Normal"/>
    <w:rsid w:val="00C318E2"/>
    <w:pPr>
      <w:spacing w:after="120"/>
      <w:ind w:left="1440" w:right="1440"/>
    </w:pPr>
  </w:style>
  <w:style w:type="character" w:customStyle="1" w:styleId="Subscript">
    <w:name w:val="Subscript"/>
    <w:basedOn w:val="DefaultParagraphFont"/>
    <w:rsid w:val="00C318E2"/>
    <w:rPr>
      <w:sz w:val="16"/>
      <w:vertAlign w:val="subscript"/>
    </w:rPr>
  </w:style>
  <w:style w:type="character" w:customStyle="1" w:styleId="Superscript">
    <w:name w:val="Superscript"/>
    <w:basedOn w:val="DefaultParagraphFont"/>
    <w:rsid w:val="00C318E2"/>
    <w:rPr>
      <w:sz w:val="16"/>
      <w:vertAlign w:val="superscript"/>
    </w:rPr>
  </w:style>
  <w:style w:type="character" w:customStyle="1" w:styleId="Symbols">
    <w:name w:val="Symbols"/>
    <w:basedOn w:val="DefaultParagraphFont"/>
    <w:rsid w:val="00C318E2"/>
    <w:rPr>
      <w:rFonts w:ascii="Symbol" w:hAnsi="Symbol"/>
    </w:rPr>
  </w:style>
  <w:style w:type="character" w:customStyle="1" w:styleId="MenuOptions">
    <w:name w:val="Menu Options"/>
    <w:basedOn w:val="DefaultParagraphFont"/>
    <w:rsid w:val="00C318E2"/>
    <w:rPr>
      <w:rFonts w:ascii="Arial Narrow" w:hAnsi="Arial Narrow"/>
      <w:smallCaps/>
    </w:rPr>
  </w:style>
  <w:style w:type="character" w:customStyle="1" w:styleId="Buttons">
    <w:name w:val="Buttons"/>
    <w:basedOn w:val="DefaultParagraphFont"/>
    <w:rsid w:val="00C318E2"/>
    <w:rPr>
      <w:b/>
    </w:rPr>
  </w:style>
  <w:style w:type="character" w:customStyle="1" w:styleId="Underlined">
    <w:name w:val="Underlined"/>
    <w:basedOn w:val="DefaultParagraphFont"/>
    <w:rsid w:val="00C318E2"/>
    <w:rPr>
      <w:u w:val="single"/>
    </w:rPr>
  </w:style>
  <w:style w:type="paragraph" w:customStyle="1" w:styleId="TableBodyTextRight">
    <w:name w:val="Table Body Text Right"/>
    <w:basedOn w:val="TableBodyText"/>
    <w:rsid w:val="00C318E2"/>
    <w:pPr>
      <w:widowControl w:val="0"/>
      <w:autoSpaceDE w:val="0"/>
      <w:autoSpaceDN w:val="0"/>
      <w:adjustRightInd w:val="0"/>
      <w:jc w:val="right"/>
    </w:pPr>
    <w:rPr>
      <w:rFonts w:cs="Arial"/>
      <w:szCs w:val="18"/>
    </w:rPr>
  </w:style>
  <w:style w:type="paragraph" w:customStyle="1" w:styleId="CopyrightText">
    <w:name w:val="Copyright Text"/>
    <w:basedOn w:val="BodyText"/>
    <w:rsid w:val="00C318E2"/>
    <w:rPr>
      <w:sz w:val="18"/>
    </w:rPr>
  </w:style>
  <w:style w:type="paragraph" w:customStyle="1" w:styleId="BodySmallRight">
    <w:name w:val="Body Small Right"/>
    <w:basedOn w:val="BodyTextRight"/>
    <w:rsid w:val="00C318E2"/>
    <w:rPr>
      <w:sz w:val="18"/>
      <w:szCs w:val="18"/>
    </w:rPr>
  </w:style>
  <w:style w:type="paragraph" w:customStyle="1" w:styleId="MarginEdition">
    <w:name w:val="Margin Edition"/>
    <w:basedOn w:val="MarginNote"/>
    <w:rsid w:val="00C318E2"/>
    <w:pPr>
      <w:spacing w:before="0" w:after="0"/>
    </w:pPr>
    <w:rPr>
      <w:rFonts w:ascii="Times New Roman" w:hAnsi="Times New Roman"/>
      <w:color w:val="999999"/>
    </w:rPr>
  </w:style>
  <w:style w:type="paragraph" w:customStyle="1" w:styleId="Spacer">
    <w:name w:val="Spacer"/>
    <w:basedOn w:val="Normal"/>
    <w:rsid w:val="00C318E2"/>
    <w:rPr>
      <w:sz w:val="2"/>
      <w:szCs w:val="2"/>
    </w:rPr>
  </w:style>
  <w:style w:type="character" w:customStyle="1" w:styleId="Small">
    <w:name w:val="Small"/>
    <w:basedOn w:val="DefaultParagraphFont"/>
    <w:rsid w:val="00C318E2"/>
    <w:rPr>
      <w:sz w:val="16"/>
    </w:rPr>
  </w:style>
  <w:style w:type="paragraph" w:customStyle="1" w:styleId="WideTable">
    <w:name w:val="Wide Table"/>
    <w:basedOn w:val="Normal"/>
    <w:rsid w:val="00C318E2"/>
    <w:pPr>
      <w:ind w:left="-1418"/>
    </w:pPr>
    <w:rPr>
      <w:sz w:val="2"/>
      <w:szCs w:val="2"/>
    </w:rPr>
  </w:style>
  <w:style w:type="character" w:styleId="PageNumber">
    <w:name w:val="page number"/>
    <w:basedOn w:val="DefaultParagraphFont"/>
    <w:rsid w:val="00C318E2"/>
  </w:style>
  <w:style w:type="paragraph" w:styleId="Quote">
    <w:name w:val="Quote"/>
    <w:basedOn w:val="Heading1"/>
    <w:link w:val="QuoteChar"/>
    <w:qFormat/>
    <w:rsid w:val="00C318E2"/>
    <w:rPr>
      <w:b w:val="0"/>
      <w:sz w:val="72"/>
      <w:szCs w:val="72"/>
      <w:lang w:val="en-NZ"/>
    </w:rPr>
  </w:style>
  <w:style w:type="character" w:customStyle="1" w:styleId="QuoteChar">
    <w:name w:val="Quote Char"/>
    <w:basedOn w:val="DefaultParagraphFont"/>
    <w:link w:val="Quote"/>
    <w:rsid w:val="00C318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8E2"/>
    <w:pPr>
      <w:pageBreakBefore/>
    </w:pPr>
  </w:style>
  <w:style w:type="paragraph" w:customStyle="1" w:styleId="Border">
    <w:name w:val="Border"/>
    <w:basedOn w:val="Normal"/>
    <w:qFormat/>
    <w:rsid w:val="00C318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8E2"/>
    <w:rPr>
      <w:b/>
      <w:bCs/>
      <w:i/>
      <w:iCs/>
      <w:color w:val="auto"/>
    </w:rPr>
  </w:style>
  <w:style w:type="paragraph" w:styleId="IntenseQuote">
    <w:name w:val="Intense Quote"/>
    <w:basedOn w:val="Normal"/>
    <w:next w:val="Normal"/>
    <w:link w:val="IntenseQuoteChar"/>
    <w:uiPriority w:val="30"/>
    <w:qFormat/>
    <w:rsid w:val="00C318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8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18E2"/>
    <w:rPr>
      <w:smallCaps/>
      <w:color w:val="auto"/>
      <w:u w:val="single"/>
    </w:rPr>
  </w:style>
  <w:style w:type="character" w:styleId="IntenseReference">
    <w:name w:val="Intense Reference"/>
    <w:basedOn w:val="DefaultParagraphFont"/>
    <w:uiPriority w:val="32"/>
    <w:qFormat/>
    <w:rsid w:val="00C318E2"/>
    <w:rPr>
      <w:b/>
      <w:bCs/>
      <w:smallCaps/>
      <w:color w:val="auto"/>
      <w:spacing w:val="5"/>
      <w:u w:val="single"/>
    </w:rPr>
  </w:style>
  <w:style w:type="paragraph" w:customStyle="1" w:styleId="2ColumnHeading">
    <w:name w:val="2Column Heading"/>
    <w:basedOn w:val="BodyText"/>
    <w:qFormat/>
    <w:rsid w:val="00C318E2"/>
    <w:pPr>
      <w:spacing w:after="60"/>
      <w:ind w:left="-2268"/>
    </w:pPr>
    <w:rPr>
      <w:b/>
    </w:rPr>
  </w:style>
  <w:style w:type="paragraph" w:customStyle="1" w:styleId="Heading1TOC">
    <w:name w:val="Heading1 TOC"/>
    <w:basedOn w:val="Normal"/>
    <w:qFormat/>
    <w:rsid w:val="00C318E2"/>
    <w:pPr>
      <w:spacing w:before="240" w:after="120"/>
    </w:pPr>
    <w:rPr>
      <w:rFonts w:ascii="Times New Roman" w:hAnsi="Times New Roman"/>
      <w:b/>
      <w:sz w:val="32"/>
    </w:rPr>
  </w:style>
  <w:style w:type="paragraph" w:customStyle="1" w:styleId="Heading2TOC">
    <w:name w:val="Heading2 TOC"/>
    <w:basedOn w:val="Normal"/>
    <w:qFormat/>
    <w:rsid w:val="00C318E2"/>
    <w:pPr>
      <w:spacing w:before="240" w:after="60"/>
    </w:pPr>
    <w:rPr>
      <w:rFonts w:ascii="Times New Roman" w:hAnsi="Times New Roman"/>
      <w:b/>
      <w:sz w:val="28"/>
    </w:rPr>
  </w:style>
  <w:style w:type="character" w:customStyle="1" w:styleId="Underline">
    <w:name w:val="Underline"/>
    <w:basedOn w:val="DefaultParagraphFont"/>
    <w:qFormat/>
    <w:rsid w:val="00C318E2"/>
    <w:rPr>
      <w:u w:val="single"/>
    </w:rPr>
  </w:style>
  <w:style w:type="paragraph" w:styleId="BalloonText">
    <w:name w:val="Balloon Text"/>
    <w:basedOn w:val="Normal"/>
    <w:link w:val="BalloonTextChar"/>
    <w:rsid w:val="00C318E2"/>
    <w:rPr>
      <w:rFonts w:ascii="Tahoma" w:hAnsi="Tahoma" w:cs="Tahoma"/>
      <w:sz w:val="16"/>
      <w:szCs w:val="16"/>
    </w:rPr>
  </w:style>
  <w:style w:type="character" w:customStyle="1" w:styleId="BalloonTextChar">
    <w:name w:val="Balloon Text Char"/>
    <w:basedOn w:val="DefaultParagraphFont"/>
    <w:link w:val="BalloonText"/>
    <w:rsid w:val="00C318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18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18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1146</Words>
  <Characters>7235</Characters>
  <Application>Microsoft Office Word</Application>
  <DocSecurity>0</DocSecurity>
  <Lines>295</Lines>
  <Paragraphs>183</Paragraphs>
  <ScaleCrop>false</ScaleCrop>
  <Company>Author-it Software Corporation Ltd.</Company>
  <LinksUpToDate>false</LinksUpToDate>
  <CharactersWithSpaces>8237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PUADEFEO802A Undertake proof firings of other calibre weapons</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2012-05-26T04:21:00Z</dcterms:created>
  <dcterms:modified xsi:type="dcterms:W3CDTF">2012-05-26T04:21:00Z</dcterms:modified>
</cp:coreProperties>
</file>