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8BD" w:rsidP="002728BD">
      <w:pPr>
        <w:pStyle w:val="Title"/>
      </w:pPr>
      <w:r>
        <w:fldChar w:fldCharType="begin"/>
      </w:r>
      <w:r>
        <w:instrText xml:space="preserve"> TITLE   \* MERGEFORMAT </w:instrText>
      </w:r>
      <w:r>
        <w:fldChar w:fldCharType="separate"/>
      </w:r>
      <w:r>
        <w:t>PUADEFEO719A Render explosive ordnance inert</w:t>
      </w:r>
      <w:r>
        <w:fldChar w:fldCharType="end"/>
      </w:r>
    </w:p>
    <w:p w:rsidR="002728BD" w:rsidP="002728BD">
      <w:pPr>
        <w:pStyle w:val="Version"/>
        <w:sectPr w:rsidSect="007F6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60EE" w:rsidP="007F60EE">
      <w:pPr>
        <w:pStyle w:val="SuperHeading"/>
      </w:pPr>
      <w:r w:rsidRPr="007F60EE">
        <w:t>PUADEFEO719A Render explosive ordnance inert</w:t>
      </w:r>
    </w:p>
    <w:p w:rsidR="00000000" w:rsidRPr="007F60EE" w:rsidP="007F60EE">
      <w:pPr>
        <w:pStyle w:val="SuperHeading"/>
      </w:pPr>
    </w:p>
    <w:p w:rsidR="00000000" w:rsidRPr="007F60EE" w:rsidP="007F60EE">
      <w:pPr>
        <w:pStyle w:val="Heading1"/>
      </w:pPr>
      <w:bookmarkStart w:id="1" w:name="O_121371"/>
      <w:bookmarkEnd w:id="1"/>
      <w:r w:rsidRPr="007F60EE">
        <w:t>Modification History</w:t>
      </w:r>
    </w:p>
    <w:p w:rsidR="00000000" w:rsidRPr="007F60EE" w:rsidP="007F60EE">
      <w:pPr>
        <w:pStyle w:val="BodyText"/>
      </w:pPr>
      <w:r w:rsidRPr="007F60EE">
        <w:t>Not applicable.</w:t>
      </w:r>
    </w:p>
    <w:p w:rsidR="00000000" w:rsidRPr="007F60EE" w:rsidP="007F60EE">
      <w:pPr>
        <w:pStyle w:val="AllowPageBreak"/>
      </w:pPr>
    </w:p>
    <w:p w:rsidR="00000000" w:rsidRPr="007F60EE" w:rsidP="007F60EE">
      <w:pPr>
        <w:pStyle w:val="Heading1"/>
      </w:pPr>
      <w:bookmarkStart w:id="2" w:name="O_121372"/>
      <w:bookmarkEnd w:id="2"/>
      <w:r w:rsidRPr="007F60EE">
        <w:t>Unit Descriptor</w:t>
      </w:r>
    </w:p>
    <w:tbl>
      <w:tblPr>
        <w:tblW w:w="0" w:type="auto"/>
        <w:tblLayout w:type="fixed"/>
        <w:tblCellMar>
          <w:left w:w="62" w:type="dxa"/>
          <w:right w:w="62" w:type="dxa"/>
        </w:tblCellMar>
        <w:tblLook w:val="0000"/>
      </w:tblPr>
      <w:tblGrid>
        <w:gridCol w:w="3060"/>
        <w:gridCol w:w="5580"/>
      </w:tblGrid>
      <w:tr w:rsidTr="002728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F60EE" w:rsidP="007F60EE">
            <w:pPr>
              <w:pStyle w:val="BodyText"/>
            </w:pPr>
            <w:r w:rsidRPr="007F60EE">
              <w:t xml:space="preserve">This unit covers the competency required to render explosive ordnance inert. </w:t>
            </w:r>
          </w:p>
          <w:p w:rsidR="00000000" w:rsidRPr="007F60EE" w:rsidP="007F60EE">
            <w:pPr>
              <w:pStyle w:val="BodyText"/>
            </w:pPr>
            <w:r w:rsidRPr="007F60EE">
              <w:t>It does not cover the auth</w:t>
            </w:r>
            <w:r w:rsidRPr="007F60EE">
              <w:t>orisation process to render explosive ordnance inert.</w:t>
            </w:r>
          </w:p>
        </w:tc>
      </w:tr>
    </w:tbl>
    <w:p w:rsidR="00000000" w:rsidRPr="007F60EE" w:rsidP="007F60EE">
      <w:pPr>
        <w:pStyle w:val="BodyText"/>
      </w:pPr>
    </w:p>
    <w:p w:rsidR="00000000" w:rsidRPr="007F60EE" w:rsidP="007F60EE">
      <w:pPr>
        <w:pStyle w:val="AllowPageBreak"/>
      </w:pPr>
    </w:p>
    <w:p w:rsidR="00000000" w:rsidRPr="007F60EE" w:rsidP="007F60EE">
      <w:pPr>
        <w:pStyle w:val="Heading1"/>
      </w:pPr>
      <w:bookmarkStart w:id="3" w:name="O_121373"/>
      <w:bookmarkEnd w:id="3"/>
      <w:r w:rsidRPr="007F60EE">
        <w:t>Application of the Unit</w:t>
      </w:r>
    </w:p>
    <w:tbl>
      <w:tblPr>
        <w:tblW w:w="0" w:type="auto"/>
        <w:tblLayout w:type="fixed"/>
        <w:tblCellMar>
          <w:left w:w="62" w:type="dxa"/>
          <w:right w:w="62" w:type="dxa"/>
        </w:tblCellMar>
        <w:tblLook w:val="0000"/>
      </w:tblPr>
      <w:tblGrid>
        <w:gridCol w:w="3060"/>
        <w:gridCol w:w="5580"/>
      </w:tblGrid>
      <w:tr w:rsidTr="002728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F60EE" w:rsidP="007F60EE">
            <w:pPr>
              <w:pStyle w:val="BodyText"/>
            </w:pPr>
            <w:r w:rsidRPr="007F60EE">
              <w:t>This competency normally applies to the individual who is required to render explosive ordnance inert.</w:t>
            </w:r>
          </w:p>
          <w:p w:rsidR="00000000" w:rsidP="007F60EE">
            <w:pPr>
              <w:pStyle w:val="BodyText"/>
              <w:rPr>
                <w:lang w:val="en-NZ"/>
              </w:rPr>
            </w:pPr>
            <w:r w:rsidRPr="007F60EE">
              <w:t>Rendering explosive ordnance inert is normally undertaken to provide a training display or model but may also be used to allow transportation of specific explosive ordnance required for testing or analysis.</w:t>
            </w:r>
          </w:p>
        </w:tc>
      </w:tr>
      <w:tr w:rsidTr="002728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F60EE" w:rsidP="007F60EE">
            <w:pPr>
              <w:pStyle w:val="BodyText"/>
            </w:pPr>
          </w:p>
        </w:tc>
      </w:tr>
    </w:tbl>
    <w:p w:rsidR="00000000" w:rsidRPr="007F60EE" w:rsidP="007F60EE">
      <w:pPr>
        <w:pStyle w:val="BodyText"/>
      </w:pPr>
    </w:p>
    <w:p w:rsidR="00000000" w:rsidRPr="007F60EE" w:rsidP="007F60EE">
      <w:pPr>
        <w:pStyle w:val="AllowPageBreak"/>
      </w:pPr>
    </w:p>
    <w:p w:rsidR="00000000" w:rsidRPr="007F60EE" w:rsidP="007F60EE">
      <w:pPr>
        <w:pStyle w:val="Heading1"/>
      </w:pPr>
      <w:bookmarkStart w:id="4" w:name="O_121374"/>
      <w:bookmarkEnd w:id="4"/>
      <w:r w:rsidRPr="007F60EE">
        <w:t>Licensing/Regulatory Inform</w:t>
      </w:r>
      <w:r w:rsidRPr="007F60EE">
        <w:t>ation</w:t>
      </w:r>
    </w:p>
    <w:p w:rsidR="00000000" w:rsidRPr="007F60EE" w:rsidP="007F60EE">
      <w:pPr>
        <w:pStyle w:val="BodyText"/>
      </w:pPr>
      <w:r w:rsidRPr="007F60EE">
        <w:t>Not applicable.</w:t>
      </w:r>
    </w:p>
    <w:p w:rsidR="00000000" w:rsidRPr="007F60EE" w:rsidP="007F60EE">
      <w:pPr>
        <w:pStyle w:val="AllowPageBreak"/>
      </w:pPr>
    </w:p>
    <w:p w:rsidR="00000000" w:rsidRPr="007F60EE" w:rsidP="007F60EE">
      <w:pPr>
        <w:pStyle w:val="Heading1"/>
      </w:pPr>
      <w:bookmarkStart w:id="5" w:name="O_121376"/>
      <w:bookmarkEnd w:id="5"/>
      <w:r w:rsidRPr="007F60EE">
        <w:t>Pre-Requisites</w:t>
      </w:r>
    </w:p>
    <w:p w:rsidR="00000000" w:rsidRPr="007F60EE" w:rsidP="007F60EE">
      <w:pPr>
        <w:pStyle w:val="BodyText"/>
      </w:pPr>
      <w:r w:rsidRPr="007F60EE">
        <w:t>Not applicable.</w:t>
      </w:r>
    </w:p>
    <w:p w:rsidR="00000000" w:rsidRPr="007F60EE" w:rsidP="007F60EE">
      <w:pPr>
        <w:pStyle w:val="AllowPageBreak"/>
      </w:pPr>
    </w:p>
    <w:p w:rsidR="00000000" w:rsidRPr="007F60EE" w:rsidP="007F60EE">
      <w:pPr>
        <w:pStyle w:val="Heading1"/>
      </w:pPr>
      <w:bookmarkStart w:id="6" w:name="O_121375"/>
      <w:bookmarkEnd w:id="6"/>
      <w:r w:rsidRPr="007F60EE">
        <w:t>Employability Skills Information</w:t>
      </w:r>
    </w:p>
    <w:tbl>
      <w:tblPr>
        <w:tblW w:w="0" w:type="auto"/>
        <w:tblLayout w:type="fixed"/>
        <w:tblCellMar>
          <w:left w:w="62" w:type="dxa"/>
          <w:right w:w="62" w:type="dxa"/>
        </w:tblCellMar>
        <w:tblLook w:val="0000"/>
      </w:tblPr>
      <w:tblGrid>
        <w:gridCol w:w="3060"/>
        <w:gridCol w:w="5580"/>
      </w:tblGrid>
      <w:tr w:rsidTr="002728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t>This unit contains employability skills.</w:t>
            </w:r>
          </w:p>
        </w:tc>
      </w:tr>
      <w:tr w:rsidTr="002728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Pre-requisite Unit</w:t>
            </w:r>
            <w:r w:rsidRPr="007F60EE">
              <w:t>/</w:t>
            </w:r>
            <w:r w:rsidRPr="007F60E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F60EE" w:rsidP="007F60EE">
            <w:pPr>
              <w:pStyle w:val="BodyText"/>
            </w:pPr>
            <w:r w:rsidRPr="007F60EE">
              <w:t>PUADEFEO505D Breakdown explosive ordnance</w:t>
            </w:r>
          </w:p>
          <w:p w:rsidR="00000000" w:rsidRPr="007F60EE" w:rsidP="007F60EE">
            <w:pPr>
              <w:pStyle w:val="BodyText"/>
            </w:pPr>
            <w:r w:rsidRPr="007F60EE">
              <w:t>PUADEFEO507D Assemble and disassemble explosive components</w:t>
            </w:r>
          </w:p>
        </w:tc>
      </w:tr>
    </w:tbl>
    <w:p w:rsidR="00000000" w:rsidRPr="007F60EE" w:rsidP="007F60EE">
      <w:pPr>
        <w:pStyle w:val="BodyText"/>
      </w:pPr>
    </w:p>
    <w:p w:rsidR="00000000" w:rsidRPr="007F60EE" w:rsidP="007F60EE">
      <w:pPr>
        <w:pStyle w:val="AllowPageBreak"/>
      </w:pPr>
    </w:p>
    <w:p w:rsidR="00000000" w:rsidRPr="007F60EE" w:rsidP="007F60EE">
      <w:pPr>
        <w:pStyle w:val="Heading1"/>
      </w:pPr>
      <w:bookmarkStart w:id="7" w:name="O_121377"/>
      <w:bookmarkEnd w:id="7"/>
      <w:r w:rsidRPr="007F60EE">
        <w:t>Elements and Performance Criteria Pre-Content</w:t>
      </w:r>
    </w:p>
    <w:tbl>
      <w:tblPr>
        <w:tblW w:w="0" w:type="auto"/>
        <w:tblLayout w:type="fixed"/>
        <w:tblCellMar>
          <w:left w:w="62" w:type="dxa"/>
          <w:right w:w="62" w:type="dxa"/>
        </w:tblCellMar>
        <w:tblLook w:val="0000"/>
      </w:tblPr>
      <w:tblGrid>
        <w:gridCol w:w="3060"/>
        <w:gridCol w:w="5580"/>
      </w:tblGrid>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Performance Criteria describe the required performance needed to demonstrate achievement of the element. Where bold italicised text is used, further information is detailed in the Required Skills and Knowledge and/or the Range Statement. Assessment of perf</w:t>
            </w:r>
            <w:r w:rsidRPr="007F60EE">
              <w:t>ormance is to be consistent with the Evidence Guide.</w:t>
            </w:r>
          </w:p>
        </w:tc>
      </w:tr>
    </w:tbl>
    <w:p w:rsidR="00000000" w:rsidRPr="007F60EE" w:rsidP="007F60EE">
      <w:pPr>
        <w:pStyle w:val="BodyText"/>
      </w:pPr>
    </w:p>
    <w:p w:rsidR="00000000" w:rsidRPr="007F60EE" w:rsidP="007F60EE">
      <w:pPr>
        <w:pStyle w:val="AllowPageBreak"/>
      </w:pPr>
    </w:p>
    <w:p w:rsidR="00000000" w:rsidRPr="007F60EE" w:rsidP="007F60EE">
      <w:pPr>
        <w:pStyle w:val="Heading1"/>
      </w:pPr>
      <w:bookmarkStart w:id="8" w:name="O_121378"/>
      <w:bookmarkEnd w:id="8"/>
      <w:r w:rsidRPr="007F60EE">
        <w:t>Elements and Performance Criteria</w:t>
      </w:r>
    </w:p>
    <w:tbl>
      <w:tblPr>
        <w:tblW w:w="0" w:type="auto"/>
        <w:tblLayout w:type="fixed"/>
        <w:tblCellMar>
          <w:left w:w="62" w:type="dxa"/>
          <w:right w:w="62" w:type="dxa"/>
        </w:tblCellMar>
        <w:tblLook w:val="0000"/>
      </w:tblPr>
      <w:tblGrid>
        <w:gridCol w:w="3060"/>
        <w:gridCol w:w="5580"/>
      </w:tblGrid>
      <w:tr w:rsidTr="002728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F60EE" w:rsidP="007F60EE">
            <w:pPr>
              <w:pStyle w:val="BodyText"/>
            </w:pPr>
            <w:r w:rsidRPr="007F60E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PERFORMANCE CRITERIA</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List"/>
              <w:rPr>
                <w:lang w:val="en-NZ"/>
              </w:rPr>
            </w:pPr>
            <w:r w:rsidRPr="007F60EE">
              <w:t>1.</w:t>
            </w:r>
            <w:r w:rsidRPr="007F60EE">
              <w:tab/>
            </w:r>
            <w:r w:rsidRPr="007F60EE">
              <w:rPr>
                <w:rStyle w:val="SpecialBold"/>
              </w:rPr>
              <w:t>Prepare to render explosive ordnance inert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List2"/>
            </w:pPr>
            <w:r w:rsidRPr="007F60EE">
              <w:t>1.1</w:t>
            </w:r>
            <w:r w:rsidRPr="007F60EE">
              <w:tab/>
              <w:t xml:space="preserve">Requirement for </w:t>
            </w:r>
            <w:r w:rsidRPr="007F60EE">
              <w:rPr>
                <w:rStyle w:val="BoldandItalics"/>
              </w:rPr>
              <w:t>explosive ordnance to be rendered inert</w:t>
            </w:r>
            <w:r w:rsidRPr="007F60EE">
              <w:t xml:space="preserve"> is identified </w:t>
            </w:r>
            <w:r w:rsidRPr="007F60EE">
              <w:t>from work requests/instructions and is confirmed</w:t>
            </w:r>
          </w:p>
          <w:p w:rsidR="00000000" w:rsidRPr="007F60EE" w:rsidP="007F60EE">
            <w:pPr>
              <w:pStyle w:val="List2"/>
            </w:pPr>
            <w:r w:rsidRPr="007F60EE">
              <w:t>1.2</w:t>
            </w:r>
            <w:r w:rsidRPr="007F60EE">
              <w:tab/>
              <w:t xml:space="preserve">Occupational health and safety (OH&amp;S) requirements, including those contained in </w:t>
            </w:r>
            <w:r w:rsidRPr="007F60EE">
              <w:rPr>
                <w:rStyle w:val="BoldandItalics"/>
              </w:rPr>
              <w:t>organisational</w:t>
            </w:r>
            <w:r w:rsidRPr="007F60EE">
              <w:t xml:space="preserve"> procedures, are applied throughout the operation</w:t>
            </w:r>
          </w:p>
          <w:p w:rsidR="00000000" w:rsidRPr="007F60EE" w:rsidP="007F60EE">
            <w:pPr>
              <w:pStyle w:val="List2"/>
            </w:pPr>
            <w:r w:rsidRPr="007F60EE">
              <w:t>1.3</w:t>
            </w:r>
            <w:r w:rsidRPr="007F60EE">
              <w:tab/>
            </w:r>
            <w:r w:rsidRPr="007F60EE">
              <w:rPr>
                <w:rStyle w:val="BoldandItalics"/>
              </w:rPr>
              <w:t>Technical references</w:t>
            </w:r>
            <w:r w:rsidRPr="007F60EE">
              <w:t xml:space="preserve">, </w:t>
            </w:r>
            <w:r w:rsidRPr="007F60EE">
              <w:rPr>
                <w:rStyle w:val="BoldandItalics"/>
              </w:rPr>
              <w:t>tools and equipment</w:t>
            </w:r>
            <w:r w:rsidRPr="007F60EE">
              <w:t xml:space="preserve"> required are identified, acquired and prepared in accordance with organisational procedures</w:t>
            </w:r>
          </w:p>
          <w:p w:rsidR="00000000" w:rsidRPr="007F60EE" w:rsidP="007F60EE">
            <w:pPr>
              <w:pStyle w:val="List2"/>
            </w:pPr>
            <w:r w:rsidRPr="007F60EE">
              <w:t>1.4</w:t>
            </w:r>
            <w:r w:rsidRPr="007F60EE">
              <w:tab/>
              <w:t>Explosive ordnance to be rendered inert is acquired, prepared, moved and positioned in preparation for the task</w:t>
            </w:r>
          </w:p>
          <w:p w:rsidR="00000000" w:rsidRPr="007F60EE" w:rsidP="007F60EE">
            <w:pPr>
              <w:pStyle w:val="List2"/>
            </w:pPr>
            <w:r w:rsidRPr="007F60EE">
              <w:t>1.5</w:t>
            </w:r>
            <w:r w:rsidRPr="007F60EE">
              <w:tab/>
            </w:r>
            <w:r w:rsidRPr="007F60EE">
              <w:rPr>
                <w:rStyle w:val="BoldandItalics"/>
              </w:rPr>
              <w:t>Net explosive quantities</w:t>
            </w:r>
            <w:r w:rsidRPr="007F60EE">
              <w:t xml:space="preserve"> and </w:t>
            </w:r>
            <w:r w:rsidRPr="007F60EE">
              <w:rPr>
                <w:rStyle w:val="BoldandItalics"/>
              </w:rPr>
              <w:t>compatibility</w:t>
            </w:r>
            <w:r w:rsidRPr="007F60EE">
              <w:t xml:space="preserve"> </w:t>
            </w:r>
            <w:r w:rsidRPr="007F60EE">
              <w:t>are identified, calculated, assessed and applied throughout the operation</w:t>
            </w:r>
          </w:p>
          <w:p w:rsidR="00000000" w:rsidP="007F60EE">
            <w:pPr>
              <w:pStyle w:val="List2"/>
              <w:rPr>
                <w:lang w:val="en-NZ"/>
              </w:rPr>
            </w:pPr>
            <w:r w:rsidRPr="007F60EE">
              <w:t>1.6</w:t>
            </w:r>
            <w:r w:rsidRPr="007F60EE">
              <w:tab/>
            </w:r>
            <w:r w:rsidRPr="007F60EE">
              <w:rPr>
                <w:rStyle w:val="BoldandItalics"/>
              </w:rPr>
              <w:t>Environmental conditions</w:t>
            </w:r>
            <w:r w:rsidRPr="007F60EE">
              <w:t xml:space="preserve"> are monitored and maintained in accordance with organisational policy</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60EE">
            <w:pPr>
              <w:pStyle w:val="BodyText"/>
              <w:rPr>
                <w:lang w:val="en-NZ"/>
              </w:rPr>
            </w:pP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List"/>
              <w:rPr>
                <w:lang w:val="en-NZ"/>
              </w:rPr>
            </w:pPr>
            <w:r w:rsidRPr="007F60EE">
              <w:t>2.</w:t>
            </w:r>
            <w:r w:rsidRPr="007F60EE">
              <w:tab/>
            </w:r>
            <w:r w:rsidRPr="007F60EE">
              <w:rPr>
                <w:rStyle w:val="SpecialBold"/>
              </w:rPr>
              <w:t>Make explosive ordnance inert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List2"/>
            </w:pPr>
            <w:r w:rsidRPr="007F60EE">
              <w:t>2.1</w:t>
            </w:r>
            <w:r w:rsidRPr="007F60EE">
              <w:tab/>
              <w:t>Explosive ordnance is broken down in accor</w:t>
            </w:r>
            <w:r w:rsidRPr="007F60EE">
              <w:t>dance with organisational policy and procedures</w:t>
            </w:r>
          </w:p>
          <w:p w:rsidR="00000000" w:rsidRPr="007F60EE" w:rsidP="007F60EE">
            <w:pPr>
              <w:pStyle w:val="List2"/>
            </w:pPr>
            <w:r w:rsidRPr="007F60EE">
              <w:t>2.2</w:t>
            </w:r>
            <w:r w:rsidRPr="007F60EE">
              <w:tab/>
              <w:t xml:space="preserve">Components are </w:t>
            </w:r>
            <w:r w:rsidRPr="007F60EE">
              <w:rPr>
                <w:rStyle w:val="BoldandItalics"/>
              </w:rPr>
              <w:t>processed</w:t>
            </w:r>
            <w:r w:rsidRPr="007F60EE">
              <w:t xml:space="preserve"> in accordance with the requirements specified in the work request</w:t>
            </w:r>
          </w:p>
          <w:p w:rsidR="00000000" w:rsidRPr="007F60EE" w:rsidP="007F60EE">
            <w:pPr>
              <w:pStyle w:val="List2"/>
            </w:pPr>
            <w:r w:rsidRPr="007F60EE">
              <w:t>2.3</w:t>
            </w:r>
            <w:r w:rsidRPr="007F60EE">
              <w:tab/>
              <w:t xml:space="preserve">Inert components are reassembled and labelled in accordance with organisational policy and procedures </w:t>
            </w:r>
          </w:p>
          <w:p w:rsidR="00000000" w:rsidP="007F60EE">
            <w:pPr>
              <w:pStyle w:val="List2"/>
              <w:rPr>
                <w:lang w:val="en-NZ"/>
              </w:rPr>
            </w:pPr>
            <w:r w:rsidRPr="007F60EE">
              <w:t>2.4</w:t>
            </w:r>
            <w:r w:rsidRPr="007F60EE">
              <w:tab/>
              <w:t>Em</w:t>
            </w:r>
            <w:r w:rsidRPr="007F60EE">
              <w:t>ergency and contingency procedures are applied in accordance with organisational policy</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60EE">
            <w:pPr>
              <w:pStyle w:val="BodyText"/>
              <w:rPr>
                <w:lang w:val="en-NZ"/>
              </w:rPr>
            </w:pP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List"/>
              <w:rPr>
                <w:lang w:val="en-NZ"/>
              </w:rPr>
            </w:pPr>
            <w:r w:rsidRPr="007F60EE">
              <w:t>3.</w:t>
            </w:r>
            <w:r w:rsidRPr="007F60EE">
              <w:tab/>
            </w:r>
            <w:r w:rsidRPr="007F60EE">
              <w:rPr>
                <w:rStyle w:val="SpecialBold"/>
              </w:rPr>
              <w:t>Finalise the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List2"/>
            </w:pPr>
            <w:r w:rsidRPr="007F60EE">
              <w:t>3.1</w:t>
            </w:r>
            <w:r w:rsidRPr="007F60EE">
              <w:tab/>
              <w:t>Equipment/tools are maintained in accordance with organisational policy and procedures</w:t>
            </w:r>
          </w:p>
          <w:p w:rsidR="00000000" w:rsidP="007F60EE">
            <w:pPr>
              <w:pStyle w:val="List2"/>
              <w:rPr>
                <w:lang w:val="en-NZ"/>
              </w:rPr>
            </w:pPr>
            <w:r w:rsidRPr="007F60EE">
              <w:t>3.2</w:t>
            </w:r>
            <w:r w:rsidRPr="007F60EE">
              <w:tab/>
            </w:r>
            <w:r w:rsidRPr="007F60EE">
              <w:rPr>
                <w:rStyle w:val="BoldandItalics"/>
              </w:rPr>
              <w:t>Documentation and records</w:t>
            </w:r>
            <w:r w:rsidRPr="007F60EE">
              <w:t xml:space="preserve"> are maintained in accordance with statutory, organisational and workshop requirements</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p>
        </w:tc>
      </w:tr>
    </w:tbl>
    <w:p w:rsidR="00000000" w:rsidRPr="007F60EE" w:rsidP="007F60EE">
      <w:pPr>
        <w:pStyle w:val="BodyText"/>
      </w:pPr>
    </w:p>
    <w:p w:rsidR="00000000" w:rsidRPr="007F60EE" w:rsidP="007F60EE">
      <w:pPr>
        <w:pStyle w:val="AllowPageBreak"/>
      </w:pPr>
    </w:p>
    <w:p w:rsidR="00000000" w:rsidRPr="007F60EE" w:rsidP="007F60EE">
      <w:pPr>
        <w:pStyle w:val="Heading1"/>
      </w:pPr>
      <w:bookmarkStart w:id="9" w:name="O_121379"/>
      <w:bookmarkEnd w:id="9"/>
      <w:r w:rsidRPr="007F60EE">
        <w:t>Required Skills and Knowledge</w:t>
      </w:r>
    </w:p>
    <w:tbl>
      <w:tblPr>
        <w:tblW w:w="0" w:type="auto"/>
        <w:tblLayout w:type="fixed"/>
        <w:tblCellMar>
          <w:left w:w="62" w:type="dxa"/>
          <w:right w:w="62" w:type="dxa"/>
        </w:tblCellMar>
        <w:tblLook w:val="0000"/>
      </w:tblPr>
      <w:tblGrid>
        <w:gridCol w:w="8640"/>
      </w:tblGrid>
      <w:tr w:rsidTr="002728B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REQUIRED SKILLS AND KNOWLEDGE</w:t>
            </w:r>
          </w:p>
        </w:tc>
      </w:tr>
      <w:tr w:rsidTr="002728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t>This describes the essential skills and knowledge and their level, required for this unit.</w:t>
            </w:r>
          </w:p>
        </w:tc>
      </w:tr>
      <w:tr w:rsidTr="002728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Required Skills</w:t>
            </w:r>
          </w:p>
        </w:tc>
      </w:tr>
      <w:tr w:rsidTr="002728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60EE" w:rsidP="007F60EE">
            <w:pPr>
              <w:pStyle w:val="ListBullet"/>
            </w:pPr>
            <w:r w:rsidRPr="007F60EE">
              <w:t>apply environmental constraints</w:t>
            </w:r>
          </w:p>
          <w:p w:rsidR="00000000" w:rsidRPr="007F60EE" w:rsidP="007F60EE">
            <w:pPr>
              <w:pStyle w:val="ListBullet"/>
            </w:pPr>
            <w:r w:rsidRPr="007F60EE">
              <w:t>apply safety policies and structures</w:t>
            </w:r>
          </w:p>
          <w:p w:rsidR="00000000" w:rsidRPr="007F60EE" w:rsidP="007F60EE">
            <w:pPr>
              <w:pStyle w:val="ListBullet"/>
            </w:pPr>
            <w:r w:rsidRPr="007F60EE">
              <w:t>calculate and apply net explosive quantity</w:t>
            </w:r>
          </w:p>
          <w:p w:rsidR="00000000" w:rsidRPr="007F60EE" w:rsidP="007F60EE">
            <w:pPr>
              <w:pStyle w:val="ListBullet"/>
            </w:pPr>
            <w:r w:rsidRPr="007F60EE">
              <w:t>conduct housekeeping</w:t>
            </w:r>
          </w:p>
          <w:p w:rsidR="00000000" w:rsidRPr="007F60EE" w:rsidP="007F60EE">
            <w:pPr>
              <w:pStyle w:val="ListBullet"/>
            </w:pPr>
            <w:r w:rsidRPr="007F60EE">
              <w:t xml:space="preserve">identify and </w:t>
            </w:r>
            <w:r w:rsidRPr="007F60EE">
              <w:t>apply compatibility constraints</w:t>
            </w:r>
          </w:p>
          <w:p w:rsidR="00000000" w:rsidRPr="007F60EE" w:rsidP="007F60EE">
            <w:pPr>
              <w:pStyle w:val="ListBullet"/>
            </w:pPr>
            <w:r w:rsidRPr="007F60EE">
              <w:t xml:space="preserve">maintain documentation </w:t>
            </w:r>
          </w:p>
          <w:p w:rsidR="00000000" w:rsidRPr="007F60EE" w:rsidP="007F60EE">
            <w:pPr>
              <w:pStyle w:val="ListBullet"/>
            </w:pPr>
            <w:r w:rsidRPr="007F60EE">
              <w:t xml:space="preserve">read, access, interpret and apply technical instructions and drawings related to the process required to render explosive ordnance inert </w:t>
            </w:r>
          </w:p>
          <w:p w:rsidR="00000000" w:rsidP="007F60EE">
            <w:pPr>
              <w:pStyle w:val="ListBullet"/>
              <w:rPr>
                <w:lang w:val="en-NZ"/>
              </w:rPr>
            </w:pPr>
            <w:r w:rsidRPr="007F60EE">
              <w:t>use tools and equipment</w:t>
            </w:r>
          </w:p>
        </w:tc>
      </w:tr>
      <w:tr w:rsidTr="002728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Required Knowledge</w:t>
            </w:r>
          </w:p>
        </w:tc>
      </w:tr>
      <w:tr w:rsidTr="002728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60EE" w:rsidP="007F60EE">
            <w:pPr>
              <w:pStyle w:val="ListBullet"/>
            </w:pPr>
            <w:r w:rsidRPr="007F60EE">
              <w:t>assessment of compatibility</w:t>
            </w:r>
          </w:p>
          <w:p w:rsidR="00000000" w:rsidRPr="007F60EE" w:rsidP="007F60EE">
            <w:pPr>
              <w:pStyle w:val="ListBullet"/>
            </w:pPr>
            <w:r w:rsidRPr="007F60EE">
              <w:t>calculation of net explosive quantity</w:t>
            </w:r>
          </w:p>
          <w:p w:rsidR="00000000" w:rsidRPr="007F60EE" w:rsidP="007F60EE">
            <w:pPr>
              <w:pStyle w:val="ListBullet"/>
            </w:pPr>
            <w:r w:rsidRPr="007F60EE">
              <w:t>characteristics and limitations of explosive ordnance to be rendereed inert</w:t>
            </w:r>
          </w:p>
          <w:p w:rsidR="00000000" w:rsidRPr="007F60EE" w:rsidP="007F60EE">
            <w:pPr>
              <w:pStyle w:val="ListBullet"/>
            </w:pPr>
            <w:r w:rsidRPr="007F60EE">
              <w:t>effects of environmental conditions</w:t>
            </w:r>
          </w:p>
          <w:p w:rsidR="00000000" w:rsidRPr="007F60EE" w:rsidP="007F60EE">
            <w:pPr>
              <w:pStyle w:val="ListBullet"/>
            </w:pPr>
          </w:p>
          <w:p w:rsidR="00000000" w:rsidRPr="007F60EE" w:rsidP="007F60EE">
            <w:pPr>
              <w:pStyle w:val="ListBullet"/>
            </w:pPr>
            <w:r w:rsidRPr="007F60EE">
              <w:t>operations, characteristics and limitations of tools and equipment required f</w:t>
            </w:r>
            <w:r w:rsidRPr="007F60EE">
              <w:t>or to render explosive ordnance inert</w:t>
            </w:r>
          </w:p>
          <w:p w:rsidR="00000000" w:rsidRPr="007F60EE" w:rsidP="007F60EE">
            <w:pPr>
              <w:pStyle w:val="ListBullet"/>
            </w:pPr>
            <w:r w:rsidRPr="007F60EE">
              <w:t xml:space="preserve">organisational documentation requirements </w:t>
            </w:r>
          </w:p>
          <w:p w:rsidR="00000000" w:rsidRPr="007F60EE" w:rsidP="007F60EE">
            <w:pPr>
              <w:pStyle w:val="ListBullet"/>
            </w:pPr>
            <w:r w:rsidRPr="007F60EE">
              <w:t>organisational safety information sources</w:t>
            </w:r>
          </w:p>
          <w:p w:rsidR="00000000" w:rsidRPr="007F60EE" w:rsidP="007F60EE">
            <w:pPr>
              <w:pStyle w:val="ListBullet"/>
            </w:pPr>
            <w:r w:rsidRPr="007F60EE">
              <w:t>organisational safety policies and structures</w:t>
            </w:r>
          </w:p>
          <w:p w:rsidR="00000000" w:rsidP="007F60EE">
            <w:pPr>
              <w:pStyle w:val="ListBullet"/>
              <w:rPr>
                <w:lang w:val="en-NZ"/>
              </w:rPr>
            </w:pPr>
            <w:r w:rsidRPr="007F60EE">
              <w:t>procedures for rendering explosive ordnance inert</w:t>
            </w:r>
          </w:p>
        </w:tc>
      </w:tr>
      <w:tr w:rsidTr="002728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60EE" w:rsidP="007F60EE">
            <w:pPr>
              <w:pStyle w:val="BodyText"/>
            </w:pPr>
          </w:p>
        </w:tc>
      </w:tr>
    </w:tbl>
    <w:p w:rsidR="00000000" w:rsidRPr="007F60EE" w:rsidP="007F60EE">
      <w:pPr>
        <w:pStyle w:val="BodyText"/>
      </w:pPr>
    </w:p>
    <w:p w:rsidR="00000000" w:rsidRPr="007F60EE" w:rsidP="007F60EE">
      <w:pPr>
        <w:pStyle w:val="AllowPageBreak"/>
      </w:pPr>
    </w:p>
    <w:p w:rsidR="00000000" w:rsidRPr="007F60EE" w:rsidP="007F60EE">
      <w:pPr>
        <w:pStyle w:val="Heading1"/>
      </w:pPr>
      <w:bookmarkStart w:id="10" w:name="O_121380"/>
      <w:bookmarkEnd w:id="10"/>
      <w:r w:rsidRPr="007F60EE">
        <w:t>Evidence Guide</w:t>
      </w:r>
    </w:p>
    <w:tbl>
      <w:tblPr>
        <w:tblW w:w="0" w:type="auto"/>
        <w:tblLayout w:type="fixed"/>
        <w:tblCellMar>
          <w:left w:w="62" w:type="dxa"/>
          <w:right w:w="62" w:type="dxa"/>
        </w:tblCellMar>
        <w:tblLook w:val="0000"/>
      </w:tblPr>
      <w:tblGrid>
        <w:gridCol w:w="3060"/>
        <w:gridCol w:w="5580"/>
      </w:tblGrid>
      <w:tr w:rsidTr="002728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F60EE">
            <w:pPr>
              <w:pStyle w:val="BodyText"/>
              <w:rPr>
                <w:lang w:val="en-NZ"/>
              </w:rPr>
            </w:pPr>
          </w:p>
        </w:tc>
      </w:tr>
      <w:tr w:rsidTr="002728B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t>The evidence guide provides advice on assessment and must be read in conjunction with the Performance Criteria, Required Skills and Knowledge, the Range Statement and the Assessment Guidelines for this Training Package.</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Assessment must confirm the ability to comply with:</w:t>
            </w:r>
          </w:p>
          <w:p w:rsidR="00000000" w:rsidRPr="007F60EE" w:rsidP="007F60EE">
            <w:pPr>
              <w:pStyle w:val="ListBullet"/>
            </w:pPr>
            <w:r w:rsidRPr="007F60EE">
              <w:t>organisational safety requirements</w:t>
            </w:r>
          </w:p>
          <w:p w:rsidR="00000000" w:rsidRPr="007F60EE" w:rsidP="007F60EE">
            <w:pPr>
              <w:pStyle w:val="ListBullet"/>
            </w:pPr>
            <w:r w:rsidRPr="007F60EE">
              <w:t xml:space="preserve">appropriate legislative and regulatory requirements. </w:t>
            </w:r>
          </w:p>
          <w:p w:rsidR="00000000" w:rsidRPr="007F60EE" w:rsidP="007F60EE">
            <w:pPr>
              <w:pStyle w:val="ListBullet"/>
            </w:pPr>
          </w:p>
          <w:p w:rsidR="00000000" w:rsidRPr="007F60EE" w:rsidP="007F60EE">
            <w:pPr>
              <w:pStyle w:val="BodyText"/>
            </w:pPr>
            <w:r w:rsidRPr="007F60EE">
              <w:t>Assessment must also</w:t>
            </w:r>
            <w:r w:rsidRPr="007F60EE">
              <w:t xml:space="preserve"> confirm the ability to:</w:t>
            </w:r>
          </w:p>
          <w:p w:rsidR="00000000" w:rsidRPr="007F60EE" w:rsidP="007F60EE">
            <w:pPr>
              <w:pStyle w:val="ListBullet"/>
            </w:pPr>
            <w:r w:rsidRPr="007F60EE">
              <w:t>work safely within an explosive ordnance environment</w:t>
            </w:r>
          </w:p>
          <w:p w:rsidR="00000000" w:rsidRPr="007F60EE" w:rsidP="007F60EE">
            <w:pPr>
              <w:pStyle w:val="ListBullet"/>
            </w:pPr>
            <w:r w:rsidRPr="007F60EE">
              <w:t>calculate and apply net explosive quantity</w:t>
            </w:r>
          </w:p>
          <w:p w:rsidR="00000000" w:rsidRPr="007F60EE" w:rsidP="007F60EE">
            <w:pPr>
              <w:pStyle w:val="ListBullet"/>
            </w:pPr>
            <w:r w:rsidRPr="007F60EE">
              <w:t>assess and apply compatibility</w:t>
            </w:r>
          </w:p>
          <w:p w:rsidR="00000000" w:rsidRPr="007F60EE" w:rsidP="007F60EE">
            <w:pPr>
              <w:pStyle w:val="ListBullet"/>
            </w:pPr>
            <w:r w:rsidRPr="007F60EE">
              <w:t>maintain documentation.</w:t>
            </w:r>
          </w:p>
          <w:p w:rsidR="00000000" w:rsidRPr="007F60EE" w:rsidP="007F60EE">
            <w:pPr>
              <w:pStyle w:val="BodyText"/>
            </w:pPr>
            <w:r w:rsidRPr="007F60EE">
              <w:rPr>
                <w:rStyle w:val="SpecialBold"/>
              </w:rPr>
              <w:t>Consistency in performance</w:t>
            </w:r>
          </w:p>
          <w:p w:rsidR="00000000" w:rsidP="007F60EE">
            <w:pPr>
              <w:pStyle w:val="BodyText"/>
              <w:rPr>
                <w:lang w:val="en-NZ"/>
              </w:rPr>
            </w:pPr>
            <w:r w:rsidRPr="007F60EE">
              <w:t>Competency should be demonstrated in a range of actual or simulated explosive ordnance contexts.</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60EE">
            <w:pPr>
              <w:pStyle w:val="BodyText"/>
              <w:rPr>
                <w:lang w:val="en-NZ"/>
              </w:rPr>
            </w:pP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F60EE" w:rsidP="007F60EE">
            <w:pPr>
              <w:pStyle w:val="BodyText"/>
            </w:pPr>
            <w:r w:rsidRPr="007F60E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rPr>
                <w:rStyle w:val="SpecialBold"/>
              </w:rPr>
              <w:t>Context of assessment</w:t>
            </w:r>
          </w:p>
          <w:p w:rsidR="00000000" w:rsidRPr="007F60EE" w:rsidP="007F60EE">
            <w:pPr>
              <w:pStyle w:val="BodyText"/>
            </w:pPr>
            <w:r w:rsidRPr="007F60EE">
              <w:t>Competency should be assessed in the workplace or in a simulated work environment, in accordance with all relevant legislation and organisation requirements.</w:t>
            </w:r>
          </w:p>
          <w:p w:rsidR="00000000" w:rsidRPr="007F60EE" w:rsidP="007F60EE">
            <w:pPr>
              <w:pStyle w:val="BodyText"/>
            </w:pPr>
            <w:r w:rsidRPr="007F60EE">
              <w:rPr>
                <w:rStyle w:val="SpecialBold"/>
              </w:rPr>
              <w:t>Specific resources for assessment</w:t>
            </w:r>
          </w:p>
          <w:p w:rsidR="00000000" w:rsidRPr="007F60EE" w:rsidP="007F60EE">
            <w:pPr>
              <w:pStyle w:val="BodyText"/>
            </w:pPr>
            <w:r w:rsidRPr="007F60EE">
              <w:t>Access is required to:</w:t>
            </w:r>
          </w:p>
          <w:p w:rsidR="00000000" w:rsidP="007F60EE">
            <w:pPr>
              <w:pStyle w:val="ListBullet"/>
              <w:rPr>
                <w:lang w:val="en-NZ"/>
              </w:rPr>
            </w:pPr>
            <w:r w:rsidRPr="007F60EE">
              <w:t>facilities and resources used in the sto</w:t>
            </w:r>
            <w:r w:rsidRPr="007F60EE">
              <w:t>rage, distribution or maintenance of explosive ordnance, including a licensed explosive site.</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60EE">
            <w:pPr>
              <w:pStyle w:val="BodyText"/>
              <w:rPr>
                <w:lang w:val="en-NZ"/>
              </w:rPr>
            </w:pP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In a public safety environment assessment is usually conducted via direct observation in a training environment or in the workplace via s</w:t>
            </w:r>
            <w:r w:rsidRPr="007F60EE">
              <w:t>ubject matter supervision and/or mentoring, which is typically recorded in a competency workbook.</w:t>
            </w:r>
          </w:p>
          <w:p w:rsidR="00000000" w:rsidRPr="007F60EE" w:rsidP="007F60EE">
            <w:pPr>
              <w:pStyle w:val="BodyText"/>
            </w:pPr>
            <w:r w:rsidRPr="007F60EE">
              <w:t>Assessment is completed using appropriately qualified assessors who select the most appropriate method of assessment.</w:t>
            </w:r>
          </w:p>
          <w:p w:rsidR="00000000" w:rsidRPr="007F60EE" w:rsidP="007F60EE">
            <w:pPr>
              <w:pStyle w:val="BodyText"/>
            </w:pPr>
            <w:r w:rsidRPr="007F60EE">
              <w:t>Assessment may occur in an operational e</w:t>
            </w:r>
            <w:r w:rsidRPr="007F60EE">
              <w:t>nvironment or in an industry-approved simulated work environment. Forms of assessment that are typically used include:</w:t>
            </w:r>
          </w:p>
          <w:p w:rsidR="00000000" w:rsidRPr="007F60EE" w:rsidP="007F60EE">
            <w:pPr>
              <w:pStyle w:val="ListBullet"/>
            </w:pPr>
            <w:r w:rsidRPr="007F60EE">
              <w:t>direct observation</w:t>
            </w:r>
          </w:p>
          <w:p w:rsidR="00000000" w:rsidRPr="007F60EE" w:rsidP="007F60EE">
            <w:pPr>
              <w:pStyle w:val="ListBullet"/>
            </w:pPr>
            <w:r w:rsidRPr="007F60EE">
              <w:t>interviewing the candidate</w:t>
            </w:r>
          </w:p>
          <w:p w:rsidR="00000000" w:rsidRPr="007F60EE" w:rsidP="007F60EE">
            <w:pPr>
              <w:pStyle w:val="ListBullet"/>
            </w:pPr>
            <w:r w:rsidRPr="007F60EE">
              <w:t>journals and workplace documentation</w:t>
            </w:r>
          </w:p>
          <w:p w:rsidR="00000000" w:rsidRPr="007F60EE" w:rsidP="007F60EE">
            <w:pPr>
              <w:pStyle w:val="ListBullet"/>
            </w:pPr>
            <w:r w:rsidRPr="007F60EE">
              <w:t>third party reports from supervisors</w:t>
            </w:r>
          </w:p>
          <w:p w:rsidR="00000000" w:rsidRPr="007F60EE" w:rsidP="007F60EE">
            <w:pPr>
              <w:pStyle w:val="ListBullet"/>
            </w:pPr>
            <w:r w:rsidRPr="007F60EE">
              <w:t>written or oral questions.</w:t>
            </w:r>
          </w:p>
        </w:tc>
      </w:tr>
    </w:tbl>
    <w:p w:rsidR="00000000" w:rsidRPr="007F60EE" w:rsidP="007F60EE">
      <w:pPr>
        <w:pStyle w:val="BodyText"/>
      </w:pPr>
    </w:p>
    <w:p w:rsidR="00000000" w:rsidRPr="007F60EE" w:rsidP="007F60EE">
      <w:pPr>
        <w:pStyle w:val="AllowPageBreak"/>
      </w:pPr>
    </w:p>
    <w:p w:rsidR="00000000" w:rsidRPr="007F60EE" w:rsidP="007F60EE">
      <w:pPr>
        <w:pStyle w:val="Heading1"/>
      </w:pPr>
      <w:bookmarkStart w:id="11" w:name="O_121381"/>
      <w:bookmarkEnd w:id="11"/>
      <w:r w:rsidRPr="007F60EE">
        <w:t>Range Statement</w:t>
      </w:r>
    </w:p>
    <w:tbl>
      <w:tblPr>
        <w:tblW w:w="0" w:type="auto"/>
        <w:tblLayout w:type="fixed"/>
        <w:tblCellMar>
          <w:left w:w="62" w:type="dxa"/>
          <w:right w:w="62" w:type="dxa"/>
        </w:tblCellMar>
        <w:tblLook w:val="0000"/>
      </w:tblPr>
      <w:tblGrid>
        <w:gridCol w:w="3060"/>
        <w:gridCol w:w="5580"/>
      </w:tblGrid>
      <w:tr w:rsidTr="002728B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rPr>
                <w:rStyle w:val="SpecialBold"/>
              </w:rPr>
              <w:t>RANGE STATEMENT</w:t>
            </w:r>
          </w:p>
        </w:tc>
      </w:tr>
      <w:tr w:rsidTr="002728B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F60EE">
            <w:pPr>
              <w:pStyle w:val="BodyText"/>
              <w:rPr>
                <w:lang w:val="en-NZ"/>
              </w:rPr>
            </w:pPr>
            <w:r w:rsidRPr="007F60EE">
              <w:t xml:space="preserve">The Range Statement relates to the Unit of Competency as a whole. It allows for different work environments and situations that may affect performance. </w:t>
            </w:r>
            <w:r w:rsidRPr="007F60EE">
              <w:rPr>
                <w:rStyle w:val="BoldandItalics"/>
              </w:rPr>
              <w:t>Bold italicised</w:t>
            </w:r>
            <w:r w:rsidRPr="007F60EE">
              <w:t xml:space="preserve"> wording in the Performance Criteria is detailed below.</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Rendering explosive ordnance inerted may be conducted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For analysis purposes</w:t>
            </w:r>
          </w:p>
          <w:p w:rsidR="00000000" w:rsidRPr="007F60EE" w:rsidP="007F60EE">
            <w:pPr>
              <w:pStyle w:val="BodyText"/>
            </w:pPr>
            <w:r w:rsidRPr="007F60EE">
              <w:t>For testing purposes</w:t>
            </w:r>
          </w:p>
          <w:p w:rsidR="00000000" w:rsidRPr="007F60EE" w:rsidP="007F60EE">
            <w:pPr>
              <w:pStyle w:val="BodyText"/>
            </w:pPr>
            <w:r w:rsidRPr="007F60EE">
              <w:t>To provide training aid</w:t>
            </w:r>
          </w:p>
          <w:p w:rsidR="00000000" w:rsidRPr="007F60EE" w:rsidP="007F60EE">
            <w:pPr>
              <w:pStyle w:val="BodyText"/>
            </w:pPr>
            <w:r w:rsidRPr="007F60EE">
              <w:t>To show components</w:t>
            </w:r>
          </w:p>
          <w:p w:rsidR="00000000" w:rsidP="007F60EE">
            <w:pPr>
              <w:pStyle w:val="BodyText"/>
              <w:rPr>
                <w:lang w:val="en-NZ"/>
              </w:rPr>
            </w:pPr>
            <w:r w:rsidRPr="007F60EE">
              <w:t>And may include the requirement to render inert under prec</w:t>
            </w:r>
            <w:r w:rsidRPr="007F60EE">
              <w:t>aution or remotely</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Defence organisation</w:t>
            </w:r>
          </w:p>
          <w:p w:rsidR="00000000" w:rsidRPr="007F60EE" w:rsidP="007F60EE">
            <w:pPr>
              <w:pStyle w:val="BodyText"/>
            </w:pPr>
            <w:r w:rsidRPr="007F60EE">
              <w:t xml:space="preserve">Enterprises that work with explosive ordnance </w:t>
            </w:r>
          </w:p>
          <w:p w:rsidR="00000000" w:rsidP="007F60EE">
            <w:pPr>
              <w:pStyle w:val="BodyText"/>
              <w:rPr>
                <w:lang w:val="en-NZ"/>
              </w:rPr>
            </w:pPr>
            <w:r w:rsidRPr="007F60EE">
              <w:t>Other government departments or instrumentalities that work with explosive ordnance</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Technical references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 xml:space="preserve">Orders and instructions </w:t>
            </w:r>
          </w:p>
          <w:p w:rsidR="00000000" w:rsidRPr="007F60EE" w:rsidP="007F60EE">
            <w:pPr>
              <w:pStyle w:val="BodyText"/>
            </w:pPr>
            <w:r w:rsidRPr="007F60EE">
              <w:t>Other publications</w:t>
            </w:r>
          </w:p>
          <w:p w:rsidR="00000000" w:rsidRPr="007F60EE" w:rsidP="007F60EE">
            <w:pPr>
              <w:pStyle w:val="BodyText"/>
            </w:pPr>
            <w:r w:rsidRPr="007F60EE">
              <w:t>Technical drawings</w:t>
            </w:r>
          </w:p>
          <w:p w:rsidR="00000000" w:rsidP="007F60EE">
            <w:pPr>
              <w:pStyle w:val="BodyText"/>
              <w:rPr>
                <w:lang w:val="en-NZ"/>
              </w:rPr>
            </w:pPr>
            <w:r w:rsidRPr="007F60EE">
              <w:t>Technical reference pamphlets</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Tools and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Beryllium tools</w:t>
            </w:r>
          </w:p>
          <w:p w:rsidR="00000000" w:rsidRPr="007F60EE" w:rsidP="007F60EE">
            <w:pPr>
              <w:pStyle w:val="BodyText"/>
            </w:pPr>
            <w:r w:rsidRPr="007F60EE">
              <w:t>Remotely operated equipment</w:t>
            </w:r>
          </w:p>
          <w:p w:rsidR="00000000" w:rsidRPr="007F60EE" w:rsidP="007F60EE">
            <w:pPr>
              <w:pStyle w:val="BodyText"/>
            </w:pPr>
            <w:r w:rsidRPr="007F60EE">
              <w:t xml:space="preserve">Special handling equipment </w:t>
            </w:r>
          </w:p>
          <w:p w:rsidR="00000000" w:rsidP="007F60EE">
            <w:pPr>
              <w:pStyle w:val="BodyText"/>
              <w:rPr>
                <w:lang w:val="en-NZ"/>
              </w:rPr>
            </w:pPr>
            <w:r w:rsidRPr="007F60EE">
              <w:t>Special tools required to render explosive ordnance inert</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Net explosive quantities</w:t>
            </w:r>
            <w:r w:rsidRPr="007F60EE">
              <w:rPr>
                <w:rStyle w:val="SpecialBold"/>
              </w:rPr>
              <w:t xml:space="preserve">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7F60EE">
            <w:pPr>
              <w:pStyle w:val="BodyText"/>
              <w:rPr>
                <w:lang w:val="en-NZ"/>
              </w:rPr>
            </w:pPr>
            <w:r w:rsidRPr="007F60EE">
              <w:t>The explosive capacity calculated in a wide range of activities related to the storage, distribution and maintenance of explosive ordnance</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7F60EE">
            <w:pPr>
              <w:pStyle w:val="BodyText"/>
              <w:rPr>
                <w:lang w:val="en-NZ"/>
              </w:rPr>
            </w:pPr>
            <w:r w:rsidRPr="007F60EE">
              <w:t>Assessed in a wide range of activities related to the storage, distribution and maintenance of explosive ordnance and other hazardous materials</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 xml:space="preserve">Air quality </w:t>
            </w:r>
          </w:p>
          <w:p w:rsidR="00000000" w:rsidRPr="007F60EE" w:rsidP="007F60EE">
            <w:pPr>
              <w:pStyle w:val="BodyText"/>
            </w:pPr>
            <w:r w:rsidRPr="007F60EE">
              <w:t>Heat</w:t>
            </w:r>
          </w:p>
          <w:p w:rsidR="00000000" w:rsidRPr="007F60EE" w:rsidP="007F60EE">
            <w:pPr>
              <w:pStyle w:val="BodyText"/>
            </w:pPr>
            <w:r w:rsidRPr="007F60EE">
              <w:t>Humidity</w:t>
            </w:r>
          </w:p>
          <w:p w:rsidR="00000000" w:rsidP="007F60EE">
            <w:pPr>
              <w:pStyle w:val="BodyText"/>
              <w:rPr>
                <w:lang w:val="en-NZ"/>
              </w:rPr>
            </w:pPr>
            <w:r w:rsidRPr="007F60EE">
              <w:t>Pressure</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Processing components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For</w:t>
            </w:r>
            <w:r w:rsidRPr="007F60EE">
              <w:t>warding components for disposal, cleaning or testing</w:t>
            </w:r>
          </w:p>
          <w:p w:rsidR="00000000" w:rsidP="007F60EE">
            <w:pPr>
              <w:pStyle w:val="BodyText"/>
              <w:rPr>
                <w:lang w:val="en-NZ"/>
              </w:rPr>
            </w:pPr>
            <w:r w:rsidRPr="007F60EE">
              <w:t>And may include some additional preparation such as packaging</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0EE">
            <w:pPr>
              <w:pStyle w:val="BodyText"/>
              <w:rPr>
                <w:lang w:val="en-NZ"/>
              </w:rPr>
            </w:pPr>
            <w:r w:rsidRPr="007F60EE">
              <w:rPr>
                <w:rStyle w:val="SpecialBold"/>
              </w:rPr>
              <w:t>Documentation and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r w:rsidRPr="007F60EE">
              <w:t>Authorisation to render explosive ordnance inert</w:t>
            </w:r>
          </w:p>
          <w:p w:rsidR="00000000" w:rsidRPr="007F60EE" w:rsidP="007F60EE">
            <w:pPr>
              <w:pStyle w:val="BodyText"/>
            </w:pPr>
            <w:r w:rsidRPr="007F60EE">
              <w:t>Free from explosive (FFE) declaration</w:t>
            </w:r>
          </w:p>
          <w:p w:rsidR="00000000" w:rsidRPr="007F60EE" w:rsidP="007F60EE">
            <w:pPr>
              <w:pStyle w:val="BodyText"/>
            </w:pPr>
          </w:p>
          <w:p w:rsidR="00000000" w:rsidRPr="007F60EE" w:rsidP="007F60EE">
            <w:pPr>
              <w:pStyle w:val="BodyText"/>
            </w:pPr>
            <w:r w:rsidRPr="007F60EE">
              <w:t>Receipt and is</w:t>
            </w:r>
            <w:r w:rsidRPr="007F60EE">
              <w:t xml:space="preserve">sue records </w:t>
            </w:r>
          </w:p>
          <w:p w:rsidR="00000000" w:rsidRPr="007F60EE" w:rsidP="007F60EE">
            <w:pPr>
              <w:pStyle w:val="BodyText"/>
            </w:pPr>
            <w:r w:rsidRPr="007F60EE">
              <w:t>Timesheets</w:t>
            </w:r>
          </w:p>
          <w:p w:rsidR="00000000" w:rsidP="007F60EE">
            <w:pPr>
              <w:pStyle w:val="BodyText"/>
              <w:rPr>
                <w:lang w:val="en-NZ"/>
              </w:rPr>
            </w:pPr>
            <w:r w:rsidRPr="007F60EE">
              <w:t>Work records</w:t>
            </w:r>
          </w:p>
        </w:tc>
      </w:tr>
      <w:tr w:rsidTr="002728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F60EE" w:rsidP="007F60EE">
            <w:pPr>
              <w:pStyle w:val="BodyText"/>
            </w:pPr>
          </w:p>
        </w:tc>
      </w:tr>
    </w:tbl>
    <w:p w:rsidR="00000000" w:rsidRPr="007F60EE" w:rsidP="007F60EE">
      <w:pPr>
        <w:pStyle w:val="BodyText"/>
      </w:pPr>
    </w:p>
    <w:p w:rsidR="00000000" w:rsidRPr="007F60EE" w:rsidP="007F60EE">
      <w:pPr>
        <w:pStyle w:val="AllowPageBreak"/>
      </w:pPr>
    </w:p>
    <w:p w:rsidR="00000000" w:rsidRPr="007F60EE" w:rsidP="007F60EE">
      <w:pPr>
        <w:pStyle w:val="Heading1"/>
      </w:pPr>
      <w:bookmarkStart w:id="12" w:name="O_121382"/>
      <w:bookmarkEnd w:id="12"/>
      <w:r w:rsidRPr="007F60EE">
        <w:t>Unit Sector(s)</w:t>
      </w:r>
    </w:p>
    <w:p w:rsidR="00000000" w:rsidRPr="007F60EE" w:rsidP="007F60EE">
      <w:pPr>
        <w:pStyle w:val="BodyText"/>
      </w:pPr>
      <w:r w:rsidRPr="007F60EE">
        <w:t>Not applicable.</w:t>
      </w:r>
    </w:p>
    <w:p w:rsidR="00000000" w:rsidRPr="007F60EE" w:rsidP="007F60EE"/>
    <w:sectPr w:rsidSect="007F6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8BD" w:rsidP="00272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BD" w:rsidP="007F6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28BD" w:rsidP="007F60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728BD" w:rsidP="007F60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8BD" w:rsidP="002728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BD" w:rsidP="007F60EE">
    <w:pPr>
      <w:pStyle w:val="Header"/>
      <w:framePr w:wrap="around"/>
    </w:pPr>
    <w:r>
      <w:fldChar w:fldCharType="begin"/>
    </w:r>
    <w:r>
      <w:instrText xml:space="preserve"> TITLE   \* MERGEFORMAT </w:instrText>
    </w:r>
    <w:r>
      <w:fldChar w:fldCharType="separate"/>
    </w:r>
    <w:r>
      <w:t>PUADEFEO719A Render explosive ordnance inert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28BD" w:rsidP="007F60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842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EC28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0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0EE"/>
    <w:pPr>
      <w:spacing w:before="360" w:after="60"/>
      <w:outlineLvl w:val="0"/>
    </w:pPr>
    <w:rPr>
      <w:sz w:val="32"/>
    </w:rPr>
  </w:style>
  <w:style w:type="paragraph" w:styleId="Heading2">
    <w:name w:val="heading 2"/>
    <w:basedOn w:val="HeadingBase"/>
    <w:next w:val="BodyText"/>
    <w:link w:val="Heading2Char"/>
    <w:qFormat/>
    <w:rsid w:val="007F60EE"/>
    <w:pPr>
      <w:keepLines/>
      <w:spacing w:before="240" w:after="120"/>
      <w:outlineLvl w:val="1"/>
    </w:pPr>
    <w:rPr>
      <w:sz w:val="28"/>
      <w:szCs w:val="40"/>
    </w:rPr>
  </w:style>
  <w:style w:type="paragraph" w:styleId="Heading3">
    <w:name w:val="heading 3"/>
    <w:basedOn w:val="HeadingBase"/>
    <w:next w:val="BodyText"/>
    <w:link w:val="Heading3Char"/>
    <w:qFormat/>
    <w:rsid w:val="007F60EE"/>
    <w:pPr>
      <w:spacing w:before="180" w:after="120"/>
      <w:outlineLvl w:val="2"/>
    </w:pPr>
    <w:rPr>
      <w:spacing w:val="-10"/>
      <w:kern w:val="32"/>
    </w:rPr>
  </w:style>
  <w:style w:type="paragraph" w:styleId="Heading4">
    <w:name w:val="heading 4"/>
    <w:basedOn w:val="HeadingBase"/>
    <w:next w:val="BodyText"/>
    <w:link w:val="Heading4Char"/>
    <w:qFormat/>
    <w:rsid w:val="007F60EE"/>
    <w:pPr>
      <w:spacing w:before="160" w:after="120"/>
      <w:outlineLvl w:val="3"/>
    </w:pPr>
    <w:rPr>
      <w:sz w:val="22"/>
    </w:rPr>
  </w:style>
  <w:style w:type="paragraph" w:styleId="Heading5">
    <w:name w:val="heading 5"/>
    <w:basedOn w:val="HeadingBase"/>
    <w:next w:val="Normal"/>
    <w:link w:val="Heading5Char"/>
    <w:qFormat/>
    <w:rsid w:val="007F60EE"/>
    <w:pPr>
      <w:spacing w:before="80"/>
      <w:outlineLvl w:val="4"/>
    </w:pPr>
    <w:rPr>
      <w:color w:val="918585"/>
      <w:sz w:val="20"/>
    </w:rPr>
  </w:style>
  <w:style w:type="paragraph" w:styleId="Heading6">
    <w:name w:val="heading 6"/>
    <w:basedOn w:val="HeadingBase"/>
    <w:next w:val="Normal"/>
    <w:link w:val="Heading6Char"/>
    <w:qFormat/>
    <w:rsid w:val="007F60EE"/>
    <w:pPr>
      <w:spacing w:before="60"/>
      <w:outlineLvl w:val="5"/>
    </w:pPr>
    <w:rPr>
      <w:color w:val="918585"/>
      <w:sz w:val="20"/>
    </w:rPr>
  </w:style>
  <w:style w:type="paragraph" w:styleId="Heading7">
    <w:name w:val="heading 7"/>
    <w:basedOn w:val="Normal"/>
    <w:next w:val="Normal"/>
    <w:link w:val="Heading7Char"/>
    <w:qFormat/>
    <w:rsid w:val="007F60EE"/>
    <w:pPr>
      <w:ind w:left="720"/>
      <w:outlineLvl w:val="6"/>
    </w:pPr>
    <w:rPr>
      <w:i/>
    </w:rPr>
  </w:style>
  <w:style w:type="paragraph" w:styleId="Heading8">
    <w:name w:val="heading 8"/>
    <w:basedOn w:val="Normal"/>
    <w:next w:val="Normal"/>
    <w:link w:val="Heading8Char"/>
    <w:qFormat/>
    <w:rsid w:val="007F60EE"/>
    <w:pPr>
      <w:ind w:left="720"/>
      <w:outlineLvl w:val="7"/>
    </w:pPr>
    <w:rPr>
      <w:i/>
    </w:rPr>
  </w:style>
  <w:style w:type="paragraph" w:styleId="Heading9">
    <w:name w:val="heading 9"/>
    <w:basedOn w:val="Normal"/>
    <w:next w:val="Normal"/>
    <w:link w:val="Heading9Char"/>
    <w:qFormat/>
    <w:rsid w:val="007F60EE"/>
    <w:pPr>
      <w:ind w:left="720"/>
      <w:outlineLvl w:val="8"/>
    </w:pPr>
    <w:rPr>
      <w:i/>
    </w:rPr>
  </w:style>
  <w:style w:type="character" w:default="1" w:styleId="DefaultParagraphFont">
    <w:name w:val="Default Paragraph Font"/>
    <w:uiPriority w:val="1"/>
    <w:unhideWhenUsed/>
    <w:rsid w:val="007F6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0EE"/>
  </w:style>
  <w:style w:type="character" w:customStyle="1" w:styleId="Heading1Char">
    <w:name w:val="Heading 1 Char"/>
    <w:basedOn w:val="DefaultParagraphFont"/>
    <w:link w:val="Heading1"/>
    <w:rsid w:val="007F60EE"/>
    <w:rPr>
      <w:rFonts w:ascii="Times New Roman" w:eastAsia="Times New Roman" w:hAnsi="Times New Roman" w:cs="Times New Roman"/>
      <w:b/>
      <w:sz w:val="32"/>
      <w:szCs w:val="20"/>
      <w:lang w:eastAsia="en-US"/>
    </w:rPr>
  </w:style>
  <w:style w:type="paragraph" w:styleId="BodyText">
    <w:name w:val="Body Text"/>
    <w:basedOn w:val="Normal"/>
    <w:link w:val="BodyTextChar"/>
    <w:rsid w:val="007F60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0EE"/>
    <w:rPr>
      <w:rFonts w:ascii="Times New Roman" w:eastAsia="Times New Roman" w:hAnsi="Times New Roman" w:cs="Times New Roman"/>
      <w:sz w:val="24"/>
      <w:lang w:val="en-US" w:eastAsia="en-US"/>
    </w:rPr>
  </w:style>
  <w:style w:type="paragraph" w:styleId="Footer">
    <w:name w:val="footer"/>
    <w:basedOn w:val="Normal"/>
    <w:link w:val="FooterChar"/>
    <w:rsid w:val="007F6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0EE"/>
    <w:rPr>
      <w:rFonts w:ascii="Times New Roman" w:eastAsia="Times New Roman" w:hAnsi="Times New Roman" w:cs="Times New Roman"/>
      <w:sz w:val="16"/>
      <w:lang w:val="en-US" w:eastAsia="en-US"/>
    </w:rPr>
  </w:style>
  <w:style w:type="paragraph" w:styleId="List">
    <w:name w:val="List"/>
    <w:basedOn w:val="BodyText"/>
    <w:next w:val="BodyText"/>
    <w:rsid w:val="007F60EE"/>
    <w:pPr>
      <w:tabs>
        <w:tab w:val="left" w:pos="340"/>
      </w:tabs>
      <w:spacing w:before="60" w:after="60"/>
      <w:ind w:left="340" w:hanging="340"/>
    </w:pPr>
  </w:style>
  <w:style w:type="paragraph" w:styleId="ListBullet">
    <w:name w:val="List Bullet"/>
    <w:basedOn w:val="List"/>
    <w:rsid w:val="007F60EE"/>
    <w:pPr>
      <w:numPr>
        <w:numId w:val="12"/>
      </w:numPr>
      <w:tabs>
        <w:tab w:val="clear" w:pos="340"/>
      </w:tabs>
      <w:spacing w:before="40" w:after="40"/>
    </w:pPr>
  </w:style>
  <w:style w:type="character" w:customStyle="1" w:styleId="SpecialBold">
    <w:name w:val="Special Bold"/>
    <w:basedOn w:val="DefaultParagraphFont"/>
    <w:rsid w:val="007F60EE"/>
    <w:rPr>
      <w:b/>
      <w:spacing w:val="0"/>
    </w:rPr>
  </w:style>
  <w:style w:type="paragraph" w:styleId="Header">
    <w:name w:val="header"/>
    <w:basedOn w:val="Normal"/>
    <w:link w:val="HeaderChar"/>
    <w:rsid w:val="007F6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0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0EE"/>
    <w:pPr>
      <w:spacing w:before="240" w:after="120"/>
      <w:outlineLvl w:val="0"/>
    </w:pPr>
    <w:rPr>
      <w:rFonts w:ascii="Times New Roman" w:hAnsi="Times New Roman"/>
      <w:b/>
      <w:sz w:val="28"/>
    </w:rPr>
  </w:style>
  <w:style w:type="paragraph" w:customStyle="1" w:styleId="AllowPageBreak">
    <w:name w:val="AllowPageBreak"/>
    <w:rsid w:val="007F60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0EE"/>
    <w:pPr>
      <w:tabs>
        <w:tab w:val="left" w:pos="680"/>
      </w:tabs>
      <w:spacing w:before="60" w:after="60"/>
      <w:ind w:left="680" w:hanging="340"/>
    </w:pPr>
  </w:style>
  <w:style w:type="character" w:customStyle="1" w:styleId="BoldandItalics">
    <w:name w:val="Bold and Italics"/>
    <w:qFormat/>
    <w:rsid w:val="007F60EE"/>
    <w:rPr>
      <w:b/>
      <w:i/>
      <w:u w:val="none"/>
    </w:rPr>
  </w:style>
  <w:style w:type="character" w:customStyle="1" w:styleId="Heading2Char">
    <w:name w:val="Heading 2 Char"/>
    <w:basedOn w:val="DefaultParagraphFont"/>
    <w:link w:val="Heading2"/>
    <w:rsid w:val="007F6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0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0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0EE"/>
    <w:rPr>
      <w:rFonts w:ascii="Courier New" w:eastAsia="Times New Roman" w:hAnsi="Courier New" w:cs="Times New Roman"/>
      <w:i/>
      <w:szCs w:val="20"/>
      <w:lang w:val="en-US" w:eastAsia="en-US"/>
    </w:rPr>
  </w:style>
  <w:style w:type="paragraph" w:customStyle="1" w:styleId="HeadingBase">
    <w:name w:val="Heading Base"/>
    <w:rsid w:val="007F6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0EE"/>
    <w:pPr>
      <w:tabs>
        <w:tab w:val="right" w:leader="dot" w:pos="9072"/>
      </w:tabs>
      <w:ind w:left="567"/>
    </w:pPr>
    <w:rPr>
      <w:szCs w:val="22"/>
    </w:rPr>
  </w:style>
  <w:style w:type="paragraph" w:customStyle="1" w:styleId="TOCBase">
    <w:name w:val="TOC Base"/>
    <w:rsid w:val="007F6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0EE"/>
    <w:pPr>
      <w:tabs>
        <w:tab w:val="right" w:leader="dot" w:pos="9072"/>
      </w:tabs>
      <w:spacing w:before="40" w:after="40"/>
      <w:ind w:left="284"/>
    </w:pPr>
    <w:rPr>
      <w:rFonts w:ascii="Times New Roman" w:hAnsi="Times New Roman"/>
    </w:rPr>
  </w:style>
  <w:style w:type="paragraph" w:styleId="TOC1">
    <w:name w:val="toc 1"/>
    <w:basedOn w:val="TOCBase"/>
    <w:next w:val="Normal"/>
    <w:rsid w:val="007F60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0EE"/>
    <w:pPr>
      <w:spacing w:before="5040"/>
      <w:jc w:val="center"/>
    </w:pPr>
    <w:rPr>
      <w:sz w:val="48"/>
      <w:szCs w:val="72"/>
      <w:lang w:val="en-US"/>
    </w:rPr>
  </w:style>
  <w:style w:type="character" w:customStyle="1" w:styleId="TitleChar">
    <w:name w:val="Title Char"/>
    <w:basedOn w:val="DefaultParagraphFont"/>
    <w:link w:val="Title"/>
    <w:rsid w:val="007F6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0EE"/>
    <w:pPr>
      <w:tabs>
        <w:tab w:val="left" w:pos="3600"/>
        <w:tab w:val="left" w:pos="3958"/>
      </w:tabs>
    </w:pPr>
  </w:style>
  <w:style w:type="paragraph" w:customStyle="1" w:styleId="Note">
    <w:name w:val="Note"/>
    <w:basedOn w:val="BodyText"/>
    <w:rsid w:val="007F6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0EE"/>
    <w:pPr>
      <w:framePr w:wrap="auto" w:hAnchor="text" w:y="6049"/>
    </w:pPr>
    <w:rPr>
      <w:color w:val="000000"/>
      <w:sz w:val="40"/>
    </w:rPr>
  </w:style>
  <w:style w:type="paragraph" w:customStyle="1" w:styleId="TOCTitle">
    <w:name w:val="TOCTitle"/>
    <w:basedOn w:val="Heading1"/>
    <w:rsid w:val="007F60EE"/>
    <w:pPr>
      <w:spacing w:after="240"/>
      <w:jc w:val="center"/>
      <w:outlineLvl w:val="9"/>
    </w:pPr>
    <w:rPr>
      <w:caps/>
    </w:rPr>
  </w:style>
  <w:style w:type="paragraph" w:customStyle="1" w:styleId="Version">
    <w:name w:val="Version"/>
    <w:rsid w:val="007F60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0EE"/>
    <w:pPr>
      <w:numPr>
        <w:numId w:val="13"/>
      </w:numPr>
      <w:tabs>
        <w:tab w:val="clear" w:pos="680"/>
      </w:tabs>
    </w:pPr>
  </w:style>
  <w:style w:type="paragraph" w:styleId="Index1">
    <w:name w:val="index 1"/>
    <w:basedOn w:val="Normal"/>
    <w:next w:val="Normal"/>
    <w:semiHidden/>
    <w:rsid w:val="007F60EE"/>
    <w:pPr>
      <w:keepNext w:val="0"/>
      <w:tabs>
        <w:tab w:val="right" w:pos="4176"/>
      </w:tabs>
      <w:ind w:left="198" w:hanging="198"/>
    </w:pPr>
    <w:rPr>
      <w:rFonts w:ascii="Garamond" w:hAnsi="Garamond"/>
    </w:rPr>
  </w:style>
  <w:style w:type="paragraph" w:styleId="IndexHeading">
    <w:name w:val="index heading"/>
    <w:basedOn w:val="Normal"/>
    <w:next w:val="Index1"/>
    <w:semiHidden/>
    <w:rsid w:val="007F60EE"/>
    <w:pPr>
      <w:spacing w:before="120" w:after="120"/>
    </w:pPr>
    <w:rPr>
      <w:rFonts w:ascii="Arial" w:hAnsi="Arial"/>
      <w:b/>
      <w:color w:val="918585"/>
      <w:sz w:val="24"/>
    </w:rPr>
  </w:style>
  <w:style w:type="paragraph" w:customStyle="1" w:styleId="Chapter">
    <w:name w:val="Chapter"/>
    <w:basedOn w:val="Normal"/>
    <w:rsid w:val="007F60EE"/>
    <w:pPr>
      <w:spacing w:before="240"/>
    </w:pPr>
    <w:rPr>
      <w:rFonts w:ascii="Times New Roman" w:hAnsi="Times New Roman"/>
      <w:smallCaps/>
      <w:spacing w:val="80"/>
      <w:sz w:val="28"/>
    </w:rPr>
  </w:style>
  <w:style w:type="paragraph" w:customStyle="1" w:styleId="InChapter">
    <w:name w:val="InChapter"/>
    <w:basedOn w:val="Heading3"/>
    <w:rsid w:val="007F60EE"/>
    <w:pPr>
      <w:spacing w:after="240"/>
      <w:outlineLvl w:val="9"/>
    </w:pPr>
    <w:rPr>
      <w:noProof/>
    </w:rPr>
  </w:style>
  <w:style w:type="paragraph" w:styleId="Index2">
    <w:name w:val="index 2"/>
    <w:basedOn w:val="Normal"/>
    <w:next w:val="Normal"/>
    <w:semiHidden/>
    <w:rsid w:val="007F60EE"/>
    <w:pPr>
      <w:tabs>
        <w:tab w:val="right" w:pos="4176"/>
      </w:tabs>
      <w:ind w:left="568" w:hanging="284"/>
    </w:pPr>
    <w:rPr>
      <w:rFonts w:ascii="Garamond" w:hAnsi="Garamond"/>
    </w:rPr>
  </w:style>
  <w:style w:type="paragraph" w:customStyle="1" w:styleId="Byline">
    <w:name w:val="Byline"/>
    <w:rsid w:val="007F6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0EE"/>
    <w:pPr>
      <w:tabs>
        <w:tab w:val="clear" w:pos="3600"/>
        <w:tab w:val="clear" w:pos="3958"/>
      </w:tabs>
      <w:jc w:val="right"/>
    </w:pPr>
  </w:style>
  <w:style w:type="character" w:styleId="Emphasis">
    <w:name w:val="Emphasis"/>
    <w:basedOn w:val="DefaultParagraphFont"/>
    <w:qFormat/>
    <w:rsid w:val="007F60EE"/>
    <w:rPr>
      <w:i/>
    </w:rPr>
  </w:style>
  <w:style w:type="paragraph" w:styleId="Caption">
    <w:name w:val="caption"/>
    <w:basedOn w:val="BodyText"/>
    <w:next w:val="Normal"/>
    <w:qFormat/>
    <w:rsid w:val="007F60EE"/>
    <w:pPr>
      <w:framePr w:w="2268" w:hSpace="181" w:vSpace="181" w:wrap="around" w:vAnchor="text" w:hAnchor="page" w:x="1135" w:y="285" w:anchorLock="1"/>
    </w:pPr>
    <w:rPr>
      <w:i/>
    </w:rPr>
  </w:style>
  <w:style w:type="paragraph" w:customStyle="1" w:styleId="MiniTOCTitle">
    <w:name w:val="MiniTOCTitle"/>
    <w:basedOn w:val="Heading4"/>
    <w:rsid w:val="007F60EE"/>
    <w:pPr>
      <w:spacing w:before="240"/>
      <w:outlineLvl w:val="9"/>
    </w:pPr>
    <w:rPr>
      <w:noProof/>
      <w:sz w:val="24"/>
    </w:rPr>
  </w:style>
  <w:style w:type="paragraph" w:customStyle="1" w:styleId="MiniTOCItem">
    <w:name w:val="MiniTOCItem"/>
    <w:basedOn w:val="ListBullet"/>
    <w:rsid w:val="007F60EE"/>
    <w:pPr>
      <w:numPr>
        <w:numId w:val="0"/>
      </w:numPr>
      <w:tabs>
        <w:tab w:val="right" w:leader="dot" w:pos="6521"/>
      </w:tabs>
      <w:spacing w:before="0" w:after="0"/>
    </w:pPr>
  </w:style>
  <w:style w:type="paragraph" w:customStyle="1" w:styleId="TOFTitle">
    <w:name w:val="TOFTitle"/>
    <w:basedOn w:val="TOCTitle"/>
    <w:rsid w:val="007F60EE"/>
  </w:style>
  <w:style w:type="paragraph" w:styleId="TableofFigures">
    <w:name w:val="table of figures"/>
    <w:basedOn w:val="Normal"/>
    <w:next w:val="Normal"/>
    <w:semiHidden/>
    <w:rsid w:val="007F60EE"/>
    <w:pPr>
      <w:tabs>
        <w:tab w:val="right" w:leader="dot" w:pos="9072"/>
      </w:tabs>
      <w:ind w:left="970" w:hanging="403"/>
    </w:pPr>
    <w:rPr>
      <w:rFonts w:ascii="Times New Roman" w:hAnsi="Times New Roman"/>
      <w:b/>
    </w:rPr>
  </w:style>
  <w:style w:type="paragraph" w:styleId="ListNumber">
    <w:name w:val="List Number"/>
    <w:basedOn w:val="List"/>
    <w:rsid w:val="007F60EE"/>
    <w:pPr>
      <w:numPr>
        <w:numId w:val="10"/>
      </w:numPr>
    </w:pPr>
  </w:style>
  <w:style w:type="character" w:customStyle="1" w:styleId="WingdingSymbols">
    <w:name w:val="Wingding Symbols"/>
    <w:rsid w:val="007F60EE"/>
    <w:rPr>
      <w:rFonts w:ascii="Wingdings" w:hAnsi="Wingdings"/>
    </w:rPr>
  </w:style>
  <w:style w:type="paragraph" w:customStyle="1" w:styleId="TableHeading">
    <w:name w:val="Table Heading"/>
    <w:basedOn w:val="HeadingBase"/>
    <w:rsid w:val="007F60EE"/>
    <w:pPr>
      <w:keepLines/>
      <w:pBdr>
        <w:bottom w:val="single" w:sz="6" w:space="1" w:color="918585"/>
      </w:pBdr>
      <w:spacing w:before="240"/>
    </w:pPr>
  </w:style>
  <w:style w:type="character" w:customStyle="1" w:styleId="HotSpot">
    <w:name w:val="HotSpot"/>
    <w:rsid w:val="007F60EE"/>
    <w:rPr>
      <w:color w:val="0033CC"/>
      <w:u w:val="none"/>
    </w:rPr>
  </w:style>
  <w:style w:type="paragraph" w:customStyle="1" w:styleId="BodyTextRight">
    <w:name w:val="Body Text Right"/>
    <w:basedOn w:val="BodyText"/>
    <w:rsid w:val="007F60EE"/>
    <w:pPr>
      <w:spacing w:before="0" w:after="0"/>
      <w:jc w:val="right"/>
    </w:pPr>
  </w:style>
  <w:style w:type="paragraph" w:styleId="Index3">
    <w:name w:val="index 3"/>
    <w:basedOn w:val="ListNumber2"/>
    <w:next w:val="Normal"/>
    <w:semiHidden/>
    <w:rsid w:val="007F60EE"/>
    <w:pPr>
      <w:numPr>
        <w:numId w:val="0"/>
      </w:numPr>
      <w:tabs>
        <w:tab w:val="right" w:leader="dot" w:pos="4176"/>
      </w:tabs>
    </w:pPr>
  </w:style>
  <w:style w:type="paragraph" w:styleId="ListNumber2">
    <w:name w:val="List Number 2"/>
    <w:basedOn w:val="List2"/>
    <w:rsid w:val="007F60EE"/>
    <w:pPr>
      <w:numPr>
        <w:numId w:val="9"/>
      </w:numPr>
      <w:tabs>
        <w:tab w:val="clear" w:pos="1060"/>
      </w:tabs>
    </w:pPr>
  </w:style>
  <w:style w:type="paragraph" w:customStyle="1" w:styleId="MarginNote">
    <w:name w:val="Margin Note"/>
    <w:basedOn w:val="BodyText"/>
    <w:rsid w:val="007F6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0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0EE"/>
    <w:rPr>
      <w:sz w:val="32"/>
    </w:rPr>
  </w:style>
  <w:style w:type="paragraph" w:customStyle="1" w:styleId="HeadingProcedure">
    <w:name w:val="Heading Procedure"/>
    <w:basedOn w:val="HeadingBase"/>
    <w:next w:val="Normal"/>
    <w:rsid w:val="007F60EE"/>
    <w:pPr>
      <w:tabs>
        <w:tab w:val="left" w:pos="0"/>
      </w:tabs>
      <w:spacing w:before="120" w:after="60"/>
    </w:pPr>
    <w:rPr>
      <w:i/>
      <w:color w:val="918585"/>
      <w:sz w:val="22"/>
    </w:rPr>
  </w:style>
  <w:style w:type="paragraph" w:customStyle="1" w:styleId="TableBodyText">
    <w:name w:val="Table Body Text"/>
    <w:basedOn w:val="BodyText"/>
    <w:rsid w:val="007F60EE"/>
    <w:pPr>
      <w:spacing w:before="60" w:after="60"/>
    </w:pPr>
  </w:style>
  <w:style w:type="paragraph" w:styleId="ListContinue">
    <w:name w:val="List Continue"/>
    <w:basedOn w:val="List"/>
    <w:rsid w:val="007F60EE"/>
    <w:pPr>
      <w:ind w:firstLine="0"/>
    </w:pPr>
  </w:style>
  <w:style w:type="paragraph" w:customStyle="1" w:styleId="ListNote">
    <w:name w:val="List Note"/>
    <w:basedOn w:val="List"/>
    <w:rsid w:val="007F60EE"/>
    <w:pPr>
      <w:pBdr>
        <w:top w:val="single" w:sz="6" w:space="2" w:color="918585"/>
        <w:bottom w:val="single" w:sz="6" w:space="2" w:color="918585"/>
      </w:pBdr>
      <w:tabs>
        <w:tab w:val="left" w:pos="1021"/>
      </w:tabs>
      <w:ind w:firstLine="0"/>
    </w:pPr>
  </w:style>
  <w:style w:type="paragraph" w:customStyle="1" w:styleId="Warning">
    <w:name w:val="Warning"/>
    <w:basedOn w:val="BodyText"/>
    <w:rsid w:val="007F60EE"/>
    <w:pPr>
      <w:shd w:val="clear" w:color="auto" w:fill="D9D9D9"/>
      <w:tabs>
        <w:tab w:val="left" w:pos="992"/>
      </w:tabs>
      <w:ind w:left="119" w:right="119"/>
    </w:pPr>
    <w:rPr>
      <w:sz w:val="20"/>
    </w:rPr>
  </w:style>
  <w:style w:type="paragraph" w:customStyle="1" w:styleId="MarginIcons">
    <w:name w:val="Margin Icons"/>
    <w:basedOn w:val="BodyText"/>
    <w:rsid w:val="007F6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0EE"/>
    <w:rPr>
      <w:rFonts w:ascii="Courier New" w:hAnsi="Courier New"/>
    </w:rPr>
  </w:style>
  <w:style w:type="paragraph" w:customStyle="1" w:styleId="NoteBullet">
    <w:name w:val="Note Bullet"/>
    <w:basedOn w:val="Note"/>
    <w:rsid w:val="007F60EE"/>
    <w:pPr>
      <w:tabs>
        <w:tab w:val="clear" w:pos="680"/>
      </w:tabs>
      <w:spacing w:before="60" w:after="60"/>
    </w:pPr>
  </w:style>
  <w:style w:type="paragraph" w:customStyle="1" w:styleId="SubHeading2">
    <w:name w:val="SubHeading2"/>
    <w:basedOn w:val="HeadingBase"/>
    <w:rsid w:val="007F60EE"/>
    <w:pPr>
      <w:spacing w:before="240" w:after="60"/>
    </w:pPr>
    <w:rPr>
      <w:sz w:val="20"/>
    </w:rPr>
  </w:style>
  <w:style w:type="paragraph" w:customStyle="1" w:styleId="SubHeading1">
    <w:name w:val="SubHeading1"/>
    <w:basedOn w:val="HeadingBase"/>
    <w:rsid w:val="007F60EE"/>
    <w:pPr>
      <w:spacing w:before="240" w:after="60"/>
    </w:pPr>
    <w:rPr>
      <w:color w:val="918585"/>
      <w:sz w:val="22"/>
    </w:rPr>
  </w:style>
  <w:style w:type="paragraph" w:customStyle="1" w:styleId="SideHeading">
    <w:name w:val="Side Heading"/>
    <w:basedOn w:val="HeadingBase"/>
    <w:rsid w:val="007F6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0EE"/>
    <w:pPr>
      <w:tabs>
        <w:tab w:val="num" w:pos="360"/>
      </w:tabs>
    </w:pPr>
  </w:style>
  <w:style w:type="paragraph" w:styleId="PlainText">
    <w:name w:val="Plain Text"/>
    <w:basedOn w:val="Normal"/>
    <w:link w:val="PlainTextChar"/>
    <w:rsid w:val="007F60EE"/>
    <w:rPr>
      <w:sz w:val="20"/>
    </w:rPr>
  </w:style>
  <w:style w:type="character" w:customStyle="1" w:styleId="PlainTextChar">
    <w:name w:val="Plain Text Char"/>
    <w:basedOn w:val="DefaultParagraphFont"/>
    <w:link w:val="PlainText"/>
    <w:rsid w:val="007F60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0EE"/>
    <w:rPr>
      <w:b/>
      <w:smallCaps/>
    </w:rPr>
  </w:style>
  <w:style w:type="paragraph" w:customStyle="1" w:styleId="TableListNumber">
    <w:name w:val="Table List Number"/>
    <w:basedOn w:val="ListNumber"/>
    <w:rsid w:val="007F60EE"/>
    <w:pPr>
      <w:numPr>
        <w:numId w:val="0"/>
      </w:numPr>
    </w:pPr>
  </w:style>
  <w:style w:type="paragraph" w:styleId="TOC4">
    <w:name w:val="toc 4"/>
    <w:basedOn w:val="TOCBase"/>
    <w:next w:val="Normal"/>
    <w:semiHidden/>
    <w:rsid w:val="007F60EE"/>
    <w:pPr>
      <w:tabs>
        <w:tab w:val="right" w:leader="dot" w:pos="9071"/>
      </w:tabs>
      <w:ind w:left="1701"/>
    </w:pPr>
  </w:style>
  <w:style w:type="paragraph" w:customStyle="1" w:styleId="ListAlpha">
    <w:name w:val="List Alpha"/>
    <w:basedOn w:val="List"/>
    <w:rsid w:val="007F60EE"/>
    <w:pPr>
      <w:numPr>
        <w:numId w:val="8"/>
      </w:numPr>
    </w:pPr>
  </w:style>
  <w:style w:type="paragraph" w:customStyle="1" w:styleId="ListAlpha2">
    <w:name w:val="List Alpha 2"/>
    <w:basedOn w:val="List2"/>
    <w:rsid w:val="007F60EE"/>
    <w:pPr>
      <w:numPr>
        <w:numId w:val="7"/>
      </w:numPr>
    </w:pPr>
  </w:style>
  <w:style w:type="paragraph" w:styleId="List3">
    <w:name w:val="List 3"/>
    <w:basedOn w:val="BodyText"/>
    <w:rsid w:val="007F60EE"/>
    <w:pPr>
      <w:tabs>
        <w:tab w:val="left" w:pos="1021"/>
      </w:tabs>
      <w:spacing w:before="60" w:after="60"/>
      <w:ind w:left="1020" w:hanging="340"/>
    </w:pPr>
  </w:style>
  <w:style w:type="paragraph" w:styleId="List4">
    <w:name w:val="List 4"/>
    <w:basedOn w:val="BodyText"/>
    <w:rsid w:val="007F60EE"/>
    <w:pPr>
      <w:tabs>
        <w:tab w:val="left" w:pos="1361"/>
      </w:tabs>
      <w:spacing w:before="60" w:after="60"/>
      <w:ind w:left="1361" w:hanging="340"/>
    </w:pPr>
  </w:style>
  <w:style w:type="paragraph" w:styleId="List5">
    <w:name w:val="List 5"/>
    <w:basedOn w:val="BodyText"/>
    <w:rsid w:val="007F60EE"/>
    <w:pPr>
      <w:tabs>
        <w:tab w:val="left" w:pos="1701"/>
      </w:tabs>
      <w:spacing w:before="60" w:after="60"/>
      <w:ind w:left="1701" w:hanging="340"/>
    </w:pPr>
  </w:style>
  <w:style w:type="paragraph" w:styleId="ListBullet3">
    <w:name w:val="List Bullet 3"/>
    <w:basedOn w:val="List3"/>
    <w:rsid w:val="007F60EE"/>
    <w:pPr>
      <w:numPr>
        <w:numId w:val="14"/>
      </w:numPr>
      <w:tabs>
        <w:tab w:val="clear" w:pos="1021"/>
      </w:tabs>
      <w:ind w:left="1037" w:hanging="357"/>
    </w:pPr>
  </w:style>
  <w:style w:type="paragraph" w:styleId="ListBullet4">
    <w:name w:val="List Bullet 4"/>
    <w:basedOn w:val="List4"/>
    <w:rsid w:val="007F60EE"/>
    <w:pPr>
      <w:numPr>
        <w:numId w:val="2"/>
      </w:numPr>
    </w:pPr>
  </w:style>
  <w:style w:type="paragraph" w:styleId="ListBullet5">
    <w:name w:val="List Bullet 5"/>
    <w:basedOn w:val="List5"/>
    <w:rsid w:val="007F60EE"/>
    <w:pPr>
      <w:numPr>
        <w:numId w:val="3"/>
      </w:numPr>
    </w:pPr>
  </w:style>
  <w:style w:type="paragraph" w:styleId="ListContinue2">
    <w:name w:val="List Continue 2"/>
    <w:basedOn w:val="List2"/>
    <w:rsid w:val="007F60EE"/>
    <w:pPr>
      <w:ind w:firstLine="0"/>
    </w:pPr>
  </w:style>
  <w:style w:type="paragraph" w:styleId="ListContinue3">
    <w:name w:val="List Continue 3"/>
    <w:basedOn w:val="List3"/>
    <w:rsid w:val="007F60EE"/>
    <w:pPr>
      <w:ind w:left="1021" w:firstLine="0"/>
    </w:pPr>
  </w:style>
  <w:style w:type="paragraph" w:styleId="ListContinue4">
    <w:name w:val="List Continue 4"/>
    <w:basedOn w:val="List4"/>
    <w:rsid w:val="007F60EE"/>
    <w:pPr>
      <w:ind w:firstLine="0"/>
    </w:pPr>
  </w:style>
  <w:style w:type="paragraph" w:styleId="ListContinue5">
    <w:name w:val="List Continue 5"/>
    <w:basedOn w:val="List5"/>
    <w:rsid w:val="007F60EE"/>
    <w:pPr>
      <w:ind w:firstLine="0"/>
    </w:pPr>
  </w:style>
  <w:style w:type="paragraph" w:styleId="ListNumber3">
    <w:name w:val="List Number 3"/>
    <w:basedOn w:val="List3"/>
    <w:rsid w:val="007F60EE"/>
    <w:pPr>
      <w:numPr>
        <w:numId w:val="4"/>
      </w:numPr>
    </w:pPr>
  </w:style>
  <w:style w:type="paragraph" w:styleId="ListNumber4">
    <w:name w:val="List Number 4"/>
    <w:basedOn w:val="List4"/>
    <w:rsid w:val="007F60EE"/>
    <w:pPr>
      <w:numPr>
        <w:numId w:val="5"/>
      </w:numPr>
    </w:pPr>
  </w:style>
  <w:style w:type="paragraph" w:styleId="ListNumber5">
    <w:name w:val="List Number 5"/>
    <w:basedOn w:val="List5"/>
    <w:rsid w:val="007F60EE"/>
    <w:pPr>
      <w:numPr>
        <w:numId w:val="6"/>
      </w:numPr>
    </w:pPr>
  </w:style>
  <w:style w:type="paragraph" w:styleId="BlockText">
    <w:name w:val="Block Text"/>
    <w:basedOn w:val="Normal"/>
    <w:rsid w:val="007F60EE"/>
    <w:pPr>
      <w:spacing w:after="120"/>
      <w:ind w:left="1440" w:right="1440"/>
    </w:pPr>
  </w:style>
  <w:style w:type="character" w:customStyle="1" w:styleId="Subscript">
    <w:name w:val="Subscript"/>
    <w:basedOn w:val="DefaultParagraphFont"/>
    <w:rsid w:val="007F60EE"/>
    <w:rPr>
      <w:sz w:val="16"/>
      <w:vertAlign w:val="subscript"/>
    </w:rPr>
  </w:style>
  <w:style w:type="character" w:customStyle="1" w:styleId="Superscript">
    <w:name w:val="Superscript"/>
    <w:basedOn w:val="DefaultParagraphFont"/>
    <w:rsid w:val="007F60EE"/>
    <w:rPr>
      <w:sz w:val="16"/>
      <w:vertAlign w:val="superscript"/>
    </w:rPr>
  </w:style>
  <w:style w:type="character" w:customStyle="1" w:styleId="Symbols">
    <w:name w:val="Symbols"/>
    <w:basedOn w:val="DefaultParagraphFont"/>
    <w:rsid w:val="007F60EE"/>
    <w:rPr>
      <w:rFonts w:ascii="Symbol" w:hAnsi="Symbol"/>
    </w:rPr>
  </w:style>
  <w:style w:type="character" w:customStyle="1" w:styleId="MenuOptions">
    <w:name w:val="Menu Options"/>
    <w:basedOn w:val="DefaultParagraphFont"/>
    <w:rsid w:val="007F60EE"/>
    <w:rPr>
      <w:rFonts w:ascii="Arial Narrow" w:hAnsi="Arial Narrow"/>
      <w:smallCaps/>
    </w:rPr>
  </w:style>
  <w:style w:type="character" w:customStyle="1" w:styleId="Buttons">
    <w:name w:val="Buttons"/>
    <w:basedOn w:val="DefaultParagraphFont"/>
    <w:rsid w:val="007F60EE"/>
    <w:rPr>
      <w:b/>
    </w:rPr>
  </w:style>
  <w:style w:type="character" w:customStyle="1" w:styleId="Underlined">
    <w:name w:val="Underlined"/>
    <w:basedOn w:val="DefaultParagraphFont"/>
    <w:rsid w:val="007F60EE"/>
    <w:rPr>
      <w:u w:val="single"/>
    </w:rPr>
  </w:style>
  <w:style w:type="paragraph" w:customStyle="1" w:styleId="TableBodyTextRight">
    <w:name w:val="Table Body Text Right"/>
    <w:basedOn w:val="TableBodyText"/>
    <w:rsid w:val="007F60EE"/>
    <w:pPr>
      <w:widowControl w:val="0"/>
      <w:autoSpaceDE w:val="0"/>
      <w:autoSpaceDN w:val="0"/>
      <w:adjustRightInd w:val="0"/>
      <w:jc w:val="right"/>
    </w:pPr>
    <w:rPr>
      <w:rFonts w:cs="Arial"/>
      <w:szCs w:val="18"/>
    </w:rPr>
  </w:style>
  <w:style w:type="paragraph" w:customStyle="1" w:styleId="CopyrightText">
    <w:name w:val="Copyright Text"/>
    <w:basedOn w:val="BodyText"/>
    <w:rsid w:val="007F60EE"/>
    <w:rPr>
      <w:sz w:val="18"/>
    </w:rPr>
  </w:style>
  <w:style w:type="paragraph" w:customStyle="1" w:styleId="BodySmallRight">
    <w:name w:val="Body Small Right"/>
    <w:basedOn w:val="BodyTextRight"/>
    <w:rsid w:val="007F60EE"/>
    <w:rPr>
      <w:sz w:val="18"/>
      <w:szCs w:val="18"/>
    </w:rPr>
  </w:style>
  <w:style w:type="paragraph" w:customStyle="1" w:styleId="MarginEdition">
    <w:name w:val="Margin Edition"/>
    <w:basedOn w:val="MarginNote"/>
    <w:rsid w:val="007F60EE"/>
    <w:pPr>
      <w:spacing w:before="0" w:after="0"/>
    </w:pPr>
    <w:rPr>
      <w:rFonts w:ascii="Times New Roman" w:hAnsi="Times New Roman"/>
      <w:color w:val="999999"/>
    </w:rPr>
  </w:style>
  <w:style w:type="paragraph" w:customStyle="1" w:styleId="Spacer">
    <w:name w:val="Spacer"/>
    <w:basedOn w:val="Normal"/>
    <w:rsid w:val="007F60EE"/>
    <w:rPr>
      <w:sz w:val="2"/>
      <w:szCs w:val="2"/>
    </w:rPr>
  </w:style>
  <w:style w:type="character" w:customStyle="1" w:styleId="Small">
    <w:name w:val="Small"/>
    <w:basedOn w:val="DefaultParagraphFont"/>
    <w:rsid w:val="007F60EE"/>
    <w:rPr>
      <w:sz w:val="16"/>
    </w:rPr>
  </w:style>
  <w:style w:type="paragraph" w:customStyle="1" w:styleId="WideTable">
    <w:name w:val="Wide Table"/>
    <w:basedOn w:val="Normal"/>
    <w:rsid w:val="007F60EE"/>
    <w:pPr>
      <w:ind w:left="-1418"/>
    </w:pPr>
    <w:rPr>
      <w:sz w:val="2"/>
      <w:szCs w:val="2"/>
    </w:rPr>
  </w:style>
  <w:style w:type="character" w:styleId="PageNumber">
    <w:name w:val="page number"/>
    <w:basedOn w:val="DefaultParagraphFont"/>
    <w:rsid w:val="007F60EE"/>
  </w:style>
  <w:style w:type="paragraph" w:styleId="Quote">
    <w:name w:val="Quote"/>
    <w:basedOn w:val="Heading1"/>
    <w:link w:val="QuoteChar"/>
    <w:qFormat/>
    <w:rsid w:val="007F60EE"/>
    <w:rPr>
      <w:b w:val="0"/>
      <w:sz w:val="72"/>
      <w:szCs w:val="72"/>
      <w:lang w:val="en-NZ"/>
    </w:rPr>
  </w:style>
  <w:style w:type="character" w:customStyle="1" w:styleId="QuoteChar">
    <w:name w:val="Quote Char"/>
    <w:basedOn w:val="DefaultParagraphFont"/>
    <w:link w:val="Quote"/>
    <w:rsid w:val="007F6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0EE"/>
    <w:pPr>
      <w:pageBreakBefore/>
    </w:pPr>
  </w:style>
  <w:style w:type="paragraph" w:customStyle="1" w:styleId="Border">
    <w:name w:val="Border"/>
    <w:basedOn w:val="Normal"/>
    <w:qFormat/>
    <w:rsid w:val="007F6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0EE"/>
    <w:rPr>
      <w:b/>
      <w:bCs/>
      <w:i/>
      <w:iCs/>
      <w:color w:val="auto"/>
    </w:rPr>
  </w:style>
  <w:style w:type="paragraph" w:styleId="IntenseQuote">
    <w:name w:val="Intense Quote"/>
    <w:basedOn w:val="Normal"/>
    <w:next w:val="Normal"/>
    <w:link w:val="IntenseQuoteChar"/>
    <w:uiPriority w:val="30"/>
    <w:qFormat/>
    <w:rsid w:val="007F6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0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0EE"/>
    <w:rPr>
      <w:smallCaps/>
      <w:color w:val="auto"/>
      <w:u w:val="single"/>
    </w:rPr>
  </w:style>
  <w:style w:type="character" w:styleId="IntenseReference">
    <w:name w:val="Intense Reference"/>
    <w:basedOn w:val="DefaultParagraphFont"/>
    <w:uiPriority w:val="32"/>
    <w:qFormat/>
    <w:rsid w:val="007F60EE"/>
    <w:rPr>
      <w:b/>
      <w:bCs/>
      <w:smallCaps/>
      <w:color w:val="auto"/>
      <w:spacing w:val="5"/>
      <w:u w:val="single"/>
    </w:rPr>
  </w:style>
  <w:style w:type="paragraph" w:customStyle="1" w:styleId="2ColumnHeading">
    <w:name w:val="2Column Heading"/>
    <w:basedOn w:val="BodyText"/>
    <w:qFormat/>
    <w:rsid w:val="007F60EE"/>
    <w:pPr>
      <w:spacing w:after="60"/>
      <w:ind w:left="-2268"/>
    </w:pPr>
    <w:rPr>
      <w:b/>
    </w:rPr>
  </w:style>
  <w:style w:type="paragraph" w:customStyle="1" w:styleId="Heading1TOC">
    <w:name w:val="Heading1 TOC"/>
    <w:basedOn w:val="Normal"/>
    <w:qFormat/>
    <w:rsid w:val="007F60EE"/>
    <w:pPr>
      <w:spacing w:before="240" w:after="120"/>
    </w:pPr>
    <w:rPr>
      <w:rFonts w:ascii="Times New Roman" w:hAnsi="Times New Roman"/>
      <w:b/>
      <w:sz w:val="32"/>
    </w:rPr>
  </w:style>
  <w:style w:type="paragraph" w:customStyle="1" w:styleId="Heading2TOC">
    <w:name w:val="Heading2 TOC"/>
    <w:basedOn w:val="Normal"/>
    <w:qFormat/>
    <w:rsid w:val="007F60EE"/>
    <w:pPr>
      <w:spacing w:before="240" w:after="60"/>
    </w:pPr>
    <w:rPr>
      <w:rFonts w:ascii="Times New Roman" w:hAnsi="Times New Roman"/>
      <w:b/>
      <w:sz w:val="28"/>
    </w:rPr>
  </w:style>
  <w:style w:type="character" w:customStyle="1" w:styleId="Underline">
    <w:name w:val="Underline"/>
    <w:basedOn w:val="DefaultParagraphFont"/>
    <w:qFormat/>
    <w:rsid w:val="007F60EE"/>
    <w:rPr>
      <w:u w:val="single"/>
    </w:rPr>
  </w:style>
  <w:style w:type="paragraph" w:styleId="BalloonText">
    <w:name w:val="Balloon Text"/>
    <w:basedOn w:val="Normal"/>
    <w:link w:val="BalloonTextChar"/>
    <w:rsid w:val="007F60EE"/>
    <w:rPr>
      <w:rFonts w:ascii="Tahoma" w:hAnsi="Tahoma" w:cs="Tahoma"/>
      <w:sz w:val="16"/>
      <w:szCs w:val="16"/>
    </w:rPr>
  </w:style>
  <w:style w:type="character" w:customStyle="1" w:styleId="BalloonTextChar">
    <w:name w:val="Balloon Text Char"/>
    <w:basedOn w:val="DefaultParagraphFont"/>
    <w:link w:val="BalloonText"/>
    <w:rsid w:val="007F60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0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0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998</Words>
  <Characters>6575</Characters>
  <Application>Microsoft Office Word</Application>
  <DocSecurity>0</DocSecurity>
  <Lines>256</Lines>
  <Paragraphs>138</Paragraphs>
  <ScaleCrop>false</ScaleCrop>
  <Company>Author-it Software Corporation Ltd.</Company>
  <LinksUpToDate>false</LinksUpToDate>
  <CharactersWithSpaces>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PUADEFEO719A Render explosive ordnance inert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2012-05-26T04:21:00Z</dcterms:created>
  <dcterms:modified xsi:type="dcterms:W3CDTF">2012-05-26T04:21:00Z</dcterms:modified>
</cp:coreProperties>
</file>