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53C" w:rsidP="0079153C">
      <w:pPr>
        <w:pStyle w:val="Title"/>
      </w:pPr>
      <w:r>
        <w:fldChar w:fldCharType="begin"/>
      </w:r>
      <w:r>
        <w:instrText xml:space="preserve"> TITLE   \* MERGEFORMAT </w:instrText>
      </w:r>
      <w:r>
        <w:fldChar w:fldCharType="separate"/>
      </w:r>
      <w:r>
        <w:t>PUADEFEO709D Apply explosive ordnance design principles</w:t>
      </w:r>
      <w:r>
        <w:fldChar w:fldCharType="end"/>
      </w:r>
    </w:p>
    <w:p w:rsidR="0079153C" w:rsidP="0079153C">
      <w:pPr>
        <w:pStyle w:val="Version"/>
        <w:sectPr w:rsidSect="00FA2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2147" w:rsidP="00FA2147">
      <w:pPr>
        <w:pStyle w:val="SuperHeading"/>
      </w:pPr>
      <w:r w:rsidRPr="00FA2147">
        <w:t>PUADEFEO709D Apply explosive ordnance design principles</w:t>
      </w:r>
    </w:p>
    <w:p w:rsidR="00000000" w:rsidRPr="00FA2147" w:rsidP="00FA2147">
      <w:pPr>
        <w:pStyle w:val="SuperHeading"/>
      </w:pPr>
    </w:p>
    <w:p w:rsidR="00000000" w:rsidRPr="00FA2147" w:rsidP="00FA2147">
      <w:pPr>
        <w:pStyle w:val="Heading1"/>
      </w:pPr>
      <w:bookmarkStart w:id="1" w:name="O_121299"/>
      <w:bookmarkEnd w:id="1"/>
      <w:r w:rsidRPr="00FA2147">
        <w:t>Modification History</w:t>
      </w:r>
    </w:p>
    <w:p w:rsidR="00000000" w:rsidRPr="00FA2147" w:rsidP="00FA2147">
      <w:pPr>
        <w:pStyle w:val="BodyText"/>
      </w:pPr>
      <w:r w:rsidRPr="00FA2147">
        <w:t>Not applicable.</w:t>
      </w:r>
    </w:p>
    <w:p w:rsidR="00000000" w:rsidRPr="00FA2147" w:rsidP="00FA2147">
      <w:pPr>
        <w:pStyle w:val="AllowPageBreak"/>
      </w:pPr>
    </w:p>
    <w:p w:rsidR="00000000" w:rsidRPr="00FA2147" w:rsidP="00FA2147">
      <w:pPr>
        <w:pStyle w:val="Heading1"/>
      </w:pPr>
      <w:bookmarkStart w:id="2" w:name="O_121300"/>
      <w:bookmarkEnd w:id="2"/>
      <w:r w:rsidRPr="00FA2147">
        <w:t>Unit Descriptor</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A2147" w:rsidP="00FA2147">
            <w:pPr>
              <w:pStyle w:val="BodyText"/>
            </w:pPr>
            <w:r w:rsidRPr="00FA2147">
              <w:t xml:space="preserve">This unit covers the competency required to apply design principles of explosive </w:t>
            </w:r>
            <w:r w:rsidRPr="00FA2147">
              <w:t>ordnance in the conduct of various explosive ordnance operations and processes.</w:t>
            </w: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3" w:name="O_121301"/>
      <w:bookmarkEnd w:id="3"/>
      <w:r w:rsidRPr="00FA2147">
        <w:t>Application of the Unit</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t xml:space="preserve">This competency normally applies to the individual who is required to apply design principles of explosive ordnance in the conduct of various explosive ordnance operations and processes including demolition operations, improvised explosive device disposal </w:t>
            </w:r>
            <w:r w:rsidRPr="00FA2147">
              <w:t>operations, trials, technical investigations, platform integration, configuration, maintenance and inter-operability.</w:t>
            </w:r>
          </w:p>
        </w:tc>
      </w:tr>
      <w:tr w:rsidTr="0079153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A2147" w:rsidP="00FA2147">
            <w:pPr>
              <w:pStyle w:val="BodyText"/>
            </w:pP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4" w:name="O_121302"/>
      <w:bookmarkEnd w:id="4"/>
      <w:r w:rsidRPr="00FA2147">
        <w:t>Licensing/Regulatory Information</w:t>
      </w:r>
    </w:p>
    <w:p w:rsidR="00000000" w:rsidRPr="00FA2147" w:rsidP="00FA2147">
      <w:pPr>
        <w:pStyle w:val="BodyText"/>
      </w:pPr>
      <w:r w:rsidRPr="00FA2147">
        <w:t>Not applicable.</w:t>
      </w:r>
    </w:p>
    <w:p w:rsidR="00000000" w:rsidRPr="00FA2147" w:rsidP="00FA2147">
      <w:pPr>
        <w:pStyle w:val="AllowPageBreak"/>
      </w:pPr>
    </w:p>
    <w:p w:rsidR="00000000" w:rsidRPr="00FA2147" w:rsidP="00FA2147">
      <w:pPr>
        <w:pStyle w:val="Heading1"/>
      </w:pPr>
      <w:bookmarkStart w:id="5" w:name="O_121303"/>
      <w:bookmarkEnd w:id="5"/>
      <w:r w:rsidRPr="00FA2147">
        <w:t>Pre-Requisites</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Pre-requisite Unit</w:t>
            </w:r>
            <w:r w:rsidRPr="00FA2147">
              <w:t>/</w:t>
            </w:r>
            <w:r w:rsidRPr="00FA214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A2147" w:rsidP="00FA2147">
            <w:pPr>
              <w:pStyle w:val="BodyText"/>
            </w:pPr>
            <w:r w:rsidRPr="00FA2147">
              <w:t>Nil</w:t>
            </w: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6" w:name="O_121304"/>
      <w:bookmarkEnd w:id="6"/>
      <w:r w:rsidRPr="00FA2147">
        <w:t>Employability Skills Information</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FA2147" w:rsidP="00FA2147">
            <w:pPr>
              <w:pStyle w:val="BodyText"/>
            </w:pPr>
            <w:r w:rsidRPr="00FA2147">
              <w:t>This unit contains employability skills.</w:t>
            </w: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7" w:name="O_121305"/>
      <w:bookmarkEnd w:id="7"/>
      <w:r w:rsidRPr="00FA2147">
        <w:t>Elements and Performance Criteria Pre-Content</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Performance Cr</w:t>
            </w:r>
            <w:r w:rsidRPr="00FA2147">
              <w:t xml:space="preserve">iteria describe the required performance needed to demonstrate achievement of the element. Where bold italicised text is used, further information is detailed in the Required Skills and Knowledge and/or the Range Statement. Assessment of performance is to </w:t>
            </w:r>
            <w:r w:rsidRPr="00FA2147">
              <w:t>be consistent with the Evidence Guide.</w:t>
            </w: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8" w:name="O_121306"/>
      <w:bookmarkEnd w:id="8"/>
      <w:r w:rsidRPr="00FA2147">
        <w:t>Elements and Performance Criteria</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A2147" w:rsidP="00FA2147">
            <w:pPr>
              <w:pStyle w:val="BodyText"/>
            </w:pPr>
            <w:r w:rsidRPr="00FA214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PERFORMANCE CRITERIA</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List"/>
              <w:rPr>
                <w:lang w:val="en-NZ"/>
              </w:rPr>
            </w:pPr>
            <w:r w:rsidRPr="00FA2147">
              <w:t>1.</w:t>
            </w:r>
            <w:r w:rsidRPr="00FA2147">
              <w:tab/>
            </w:r>
            <w:r w:rsidRPr="00FA2147">
              <w:rPr>
                <w:rStyle w:val="SpecialBold"/>
              </w:rPr>
              <w:t>Establish reference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List2"/>
            </w:pPr>
            <w:r w:rsidRPr="00FA2147">
              <w:t>1.1</w:t>
            </w:r>
            <w:r w:rsidRPr="00FA2147">
              <w:tab/>
            </w:r>
            <w:r w:rsidRPr="00FA2147">
              <w:rPr>
                <w:rStyle w:val="BoldandItalics"/>
              </w:rPr>
              <w:t>References</w:t>
            </w:r>
            <w:r w:rsidRPr="00FA2147">
              <w:t xml:space="preserve"> relevant to the design principles of </w:t>
            </w:r>
            <w:r w:rsidRPr="00FA2147">
              <w:t xml:space="preserve">explosive ordnance, components and associated weapons systems are identified and acquired in accordance with </w:t>
            </w:r>
            <w:r w:rsidRPr="00FA2147">
              <w:rPr>
                <w:rStyle w:val="BoldandItalics"/>
              </w:rPr>
              <w:t>standard research procedures</w:t>
            </w:r>
          </w:p>
          <w:p w:rsidR="00000000" w:rsidRPr="00FA2147" w:rsidP="00FA2147">
            <w:pPr>
              <w:pStyle w:val="List2"/>
            </w:pPr>
            <w:r w:rsidRPr="00FA2147">
              <w:t>1.2</w:t>
            </w:r>
            <w:r w:rsidRPr="00FA2147">
              <w:tab/>
              <w:t>Specific design principles are identified within research material in accordance with standard research procedures</w:t>
            </w:r>
          </w:p>
          <w:p w:rsidR="00000000" w:rsidP="00FA2147">
            <w:pPr>
              <w:pStyle w:val="List2"/>
              <w:rPr>
                <w:lang w:val="en-NZ"/>
              </w:rPr>
            </w:pPr>
            <w:r w:rsidRPr="00FA2147">
              <w:t>1.3</w:t>
            </w:r>
            <w:r w:rsidRPr="00FA2147">
              <w:tab/>
              <w:t>Occupational health and safety (OH&amp;S) principles and requirements are identified and observed throughout the process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A2147">
            <w:pPr>
              <w:pStyle w:val="BodyText"/>
              <w:rPr>
                <w:lang w:val="en-NZ"/>
              </w:rPr>
            </w:pP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List"/>
              <w:rPr>
                <w:lang w:val="en-NZ"/>
              </w:rPr>
            </w:pPr>
            <w:r w:rsidRPr="00FA2147">
              <w:t>2.</w:t>
            </w:r>
            <w:r w:rsidRPr="00FA2147">
              <w:tab/>
            </w:r>
            <w:r w:rsidRPr="00FA2147">
              <w:rPr>
                <w:rStyle w:val="SpecialBold"/>
              </w:rPr>
              <w:t>Apply design criteria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List2"/>
            </w:pPr>
            <w:r w:rsidRPr="00FA2147">
              <w:t>2.1</w:t>
            </w:r>
            <w:r w:rsidRPr="00FA2147">
              <w:tab/>
            </w:r>
            <w:r w:rsidRPr="00FA2147">
              <w:rPr>
                <w:rStyle w:val="BoldandItalics"/>
              </w:rPr>
              <w:t>Explosive ordnance</w:t>
            </w:r>
            <w:r w:rsidRPr="00FA2147">
              <w:t xml:space="preserve">, </w:t>
            </w:r>
            <w:r w:rsidRPr="00FA2147">
              <w:rPr>
                <w:rStyle w:val="BoldandItalics"/>
              </w:rPr>
              <w:t>components and associated weapons systems design criteria</w:t>
            </w:r>
            <w:r w:rsidRPr="00FA2147">
              <w:t xml:space="preserve"> are applied through phy</w:t>
            </w:r>
            <w:r w:rsidRPr="00FA2147">
              <w:t>sical inspection and analysis against research material</w:t>
            </w:r>
          </w:p>
          <w:p w:rsidR="00000000" w:rsidRPr="00FA2147" w:rsidP="00FA2147">
            <w:pPr>
              <w:pStyle w:val="List2"/>
            </w:pPr>
            <w:r w:rsidRPr="00FA2147">
              <w:t>2.2</w:t>
            </w:r>
            <w:r w:rsidRPr="00FA2147">
              <w:tab/>
              <w:t>Explosive ordnance, components and associated weapons systems characteristics are determined from an analysis of the design criteria</w:t>
            </w:r>
          </w:p>
          <w:p w:rsidR="00000000" w:rsidP="00FA2147">
            <w:pPr>
              <w:pStyle w:val="List2"/>
              <w:rPr>
                <w:lang w:val="en-NZ"/>
              </w:rPr>
            </w:pPr>
            <w:r w:rsidRPr="00FA2147">
              <w:t>2.3</w:t>
            </w:r>
            <w:r w:rsidRPr="00FA2147">
              <w:tab/>
            </w:r>
            <w:r w:rsidRPr="00FA2147">
              <w:rPr>
                <w:rStyle w:val="BoldandItalics"/>
              </w:rPr>
              <w:t>Explosive ordnance</w:t>
            </w:r>
            <w:r w:rsidRPr="00FA2147">
              <w:t xml:space="preserve">, </w:t>
            </w:r>
            <w:r w:rsidRPr="00FA2147">
              <w:rPr>
                <w:rStyle w:val="BoldandItalics"/>
              </w:rPr>
              <w:t>components and associated weapons syste</w:t>
            </w:r>
            <w:r w:rsidRPr="00FA2147">
              <w:rPr>
                <w:rStyle w:val="BoldandItalics"/>
              </w:rPr>
              <w:t>ms performance characteristics</w:t>
            </w:r>
            <w:r w:rsidRPr="00FA2147">
              <w:t xml:space="preserve"> are determined from an analysis of the design criteria and technical data</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9" w:name="O_121307"/>
      <w:bookmarkEnd w:id="9"/>
      <w:r w:rsidRPr="00FA2147">
        <w:t>Required Skills and Knowledge</w:t>
      </w:r>
    </w:p>
    <w:tbl>
      <w:tblPr>
        <w:tblW w:w="0" w:type="auto"/>
        <w:tblLayout w:type="fixed"/>
        <w:tblCellMar>
          <w:left w:w="62" w:type="dxa"/>
          <w:right w:w="62" w:type="dxa"/>
        </w:tblCellMar>
        <w:tblLook w:val="0000"/>
      </w:tblPr>
      <w:tblGrid>
        <w:gridCol w:w="8640"/>
      </w:tblGrid>
      <w:tr w:rsidTr="0079153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REQUIRED SKILLS AND KNOWLEDGE</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t>This describes the essential skills and knowledge and their level, required for this unit.</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Required Skills</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A2147" w:rsidP="00FA2147">
            <w:pPr>
              <w:pStyle w:val="ListBullet"/>
            </w:pPr>
            <w:r w:rsidRPr="00FA2147">
              <w:t>access, interpret and apply technical information</w:t>
            </w:r>
          </w:p>
          <w:p w:rsidR="00000000" w:rsidRPr="00FA2147" w:rsidP="00FA2147">
            <w:pPr>
              <w:pStyle w:val="ListBullet"/>
            </w:pPr>
            <w:r w:rsidRPr="00FA2147">
              <w:t>apply OH&amp;S requirements</w:t>
            </w:r>
          </w:p>
          <w:p w:rsidR="00000000" w:rsidRPr="00FA2147" w:rsidP="00FA2147">
            <w:pPr>
              <w:pStyle w:val="ListBullet"/>
            </w:pPr>
            <w:r w:rsidRPr="00FA2147">
              <w:t>apply quantitative and qualitative analysis</w:t>
            </w:r>
          </w:p>
          <w:p w:rsidR="00000000" w:rsidP="00FA2147">
            <w:pPr>
              <w:pStyle w:val="ListBullet"/>
              <w:rPr>
                <w:lang w:val="en-NZ"/>
              </w:rPr>
            </w:pPr>
            <w:r w:rsidRPr="00FA2147">
              <w:t>apply research techniques</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Required Knowledge</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A2147" w:rsidP="00FA2147">
            <w:pPr>
              <w:pStyle w:val="ListBullet"/>
            </w:pPr>
            <w:r w:rsidRPr="00FA2147">
              <w:t xml:space="preserve">analysis processes and techniques </w:t>
            </w:r>
          </w:p>
          <w:p w:rsidR="00000000" w:rsidRPr="00FA2147" w:rsidP="00FA2147">
            <w:pPr>
              <w:pStyle w:val="ListBullet"/>
            </w:pPr>
            <w:r w:rsidRPr="00FA2147">
              <w:t>characteristics, technical capabilities and limitations of explosive ordnance, components and associated weapons systems</w:t>
            </w:r>
          </w:p>
          <w:p w:rsidR="00000000" w:rsidRPr="00FA2147" w:rsidP="00FA2147">
            <w:pPr>
              <w:pStyle w:val="ListBullet"/>
            </w:pPr>
            <w:r w:rsidRPr="00FA2147">
              <w:t>design principles of explosive ordnance, components and associated weapons syst</w:t>
            </w:r>
            <w:r w:rsidRPr="00FA2147">
              <w:t>ems</w:t>
            </w:r>
          </w:p>
          <w:p w:rsidR="00000000" w:rsidRPr="00FA2147" w:rsidP="00FA2147">
            <w:pPr>
              <w:pStyle w:val="ListBullet"/>
            </w:pPr>
            <w:r w:rsidRPr="00FA2147">
              <w:t>explosions and terminal effects</w:t>
            </w:r>
          </w:p>
          <w:p w:rsidR="00000000" w:rsidRPr="00FA2147" w:rsidP="00FA2147">
            <w:pPr>
              <w:pStyle w:val="ListBullet"/>
            </w:pPr>
            <w:r w:rsidRPr="00FA2147">
              <w:t>relevant OH&amp;S requirements</w:t>
            </w:r>
          </w:p>
          <w:p w:rsidR="00000000" w:rsidP="00FA2147">
            <w:pPr>
              <w:pStyle w:val="ListBullet"/>
              <w:rPr>
                <w:lang w:val="en-NZ"/>
              </w:rPr>
            </w:pPr>
            <w:r w:rsidRPr="00FA2147">
              <w:t>research processes</w:t>
            </w:r>
          </w:p>
        </w:tc>
      </w:tr>
      <w:tr w:rsidTr="0079153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A2147" w:rsidP="00FA2147">
            <w:pPr>
              <w:pStyle w:val="BodyText"/>
            </w:pP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10" w:name="O_121308"/>
      <w:bookmarkEnd w:id="10"/>
      <w:r w:rsidRPr="00FA2147">
        <w:t>Evidence Guide</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A2147">
            <w:pPr>
              <w:pStyle w:val="BodyText"/>
              <w:rPr>
                <w:lang w:val="en-NZ"/>
              </w:rPr>
            </w:pPr>
          </w:p>
        </w:tc>
      </w:tr>
      <w:tr w:rsidTr="007915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t>The evidence guide provides advice on assessment and must be read in conjunction with the Performance Criteria, Required Skills and Knowledge, the Range Statement and the Assessment Guidelines for this Training Package.</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Critical aspects for assessment an</w:t>
            </w:r>
            <w:r w:rsidRPr="00FA2147">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Assessment must confirm the ability to:</w:t>
            </w:r>
          </w:p>
          <w:p w:rsidR="00000000" w:rsidRPr="00FA2147" w:rsidP="00FA2147">
            <w:pPr>
              <w:pStyle w:val="ListBullet"/>
            </w:pPr>
            <w:r w:rsidRPr="00FA2147">
              <w:t>comply withrelevant OH&amp;S requirements in establishing reference techniques</w:t>
            </w:r>
          </w:p>
          <w:p w:rsidR="00000000" w:rsidRPr="00FA2147" w:rsidP="00FA2147">
            <w:pPr>
              <w:pStyle w:val="ListBullet"/>
            </w:pPr>
            <w:r w:rsidRPr="00FA2147">
              <w:t>determine the characteristics and the performance characteristics of explosive ordnance, components and associated weapons systems.</w:t>
            </w:r>
          </w:p>
          <w:p w:rsidR="00000000" w:rsidRPr="00FA2147" w:rsidP="00FA2147">
            <w:pPr>
              <w:pStyle w:val="BodyText"/>
            </w:pPr>
            <w:r w:rsidRPr="00FA2147">
              <w:rPr>
                <w:rStyle w:val="SpecialBold"/>
              </w:rPr>
              <w:t>Consistency in performance</w:t>
            </w:r>
          </w:p>
          <w:p w:rsidR="00000000" w:rsidP="00FA2147">
            <w:pPr>
              <w:pStyle w:val="BodyText"/>
              <w:rPr>
                <w:lang w:val="en-NZ"/>
              </w:rPr>
            </w:pPr>
            <w:r w:rsidRPr="00FA2147">
              <w:t>Competency should be demonstrated in a range of actual or simulated explosive ordnance contexts.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A2147">
            <w:pPr>
              <w:pStyle w:val="BodyText"/>
              <w:rPr>
                <w:lang w:val="en-NZ"/>
              </w:rPr>
            </w:pP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A2147" w:rsidP="00FA2147">
            <w:pPr>
              <w:pStyle w:val="BodyText"/>
            </w:pPr>
            <w:r w:rsidRPr="00FA214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rPr>
                <w:rStyle w:val="SpecialBold"/>
              </w:rPr>
              <w:t>Context of assessment</w:t>
            </w:r>
          </w:p>
          <w:p w:rsidR="00000000" w:rsidRPr="00FA2147" w:rsidP="00FA2147">
            <w:pPr>
              <w:pStyle w:val="BodyText"/>
            </w:pPr>
            <w:r w:rsidRPr="00FA2147">
              <w:t>Competency should be assessed in the workplace or in a simulated work environment, in accordance with all relevant legislation and Defence requirements.</w:t>
            </w:r>
          </w:p>
          <w:p w:rsidR="00000000" w:rsidRPr="00FA2147" w:rsidP="00FA2147">
            <w:pPr>
              <w:pStyle w:val="BodyText"/>
            </w:pPr>
            <w:r w:rsidRPr="00FA2147">
              <w:rPr>
                <w:rStyle w:val="SpecialBold"/>
              </w:rPr>
              <w:t>Specific resources for assessment</w:t>
            </w:r>
          </w:p>
          <w:p w:rsidR="00000000" w:rsidRPr="00FA2147" w:rsidP="00FA2147">
            <w:pPr>
              <w:pStyle w:val="BodyText"/>
            </w:pPr>
            <w:r w:rsidRPr="00FA2147">
              <w:t>Access is required to:</w:t>
            </w:r>
          </w:p>
          <w:p w:rsidR="00000000" w:rsidP="00FA2147">
            <w:pPr>
              <w:pStyle w:val="ListBullet"/>
              <w:rPr>
                <w:lang w:val="en-NZ"/>
              </w:rPr>
            </w:pPr>
            <w:r w:rsidRPr="00FA2147">
              <w:t>policy and standards relevant to explosive ordnance, components and weapon systems.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A2147">
            <w:pPr>
              <w:pStyle w:val="BodyText"/>
              <w:rPr>
                <w:lang w:val="en-NZ"/>
              </w:rPr>
            </w:pP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Method of assessment</w:t>
            </w:r>
            <w:r w:rsidRPr="00FA214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In a public safety environment assessment is usually conducted via direct observation in</w:t>
            </w:r>
            <w:r w:rsidRPr="00FA2147">
              <w:t xml:space="preserve"> a training environment or in the workplace via subject matter supervision and/or mentoring, which is typically recorded in a competency workbook.</w:t>
            </w:r>
          </w:p>
          <w:p w:rsidR="00000000" w:rsidRPr="00FA2147" w:rsidP="00FA2147">
            <w:pPr>
              <w:pStyle w:val="BodyText"/>
            </w:pPr>
            <w:r w:rsidRPr="00FA2147">
              <w:t>Assessment is completed using appropriately qualified assessors who select the most appropriate method of ass</w:t>
            </w:r>
            <w:r w:rsidRPr="00FA2147">
              <w:t>essment.</w:t>
            </w:r>
          </w:p>
          <w:p w:rsidR="00000000" w:rsidRPr="00FA2147" w:rsidP="00FA2147">
            <w:pPr>
              <w:pStyle w:val="BodyText"/>
            </w:pPr>
            <w:r w:rsidRPr="00FA2147">
              <w:t>Assessment may occur in an operational environment or in an industry-approved simulated work environment. Forms of assessment that are typically used include:</w:t>
            </w:r>
          </w:p>
          <w:p w:rsidR="00000000" w:rsidRPr="00FA2147" w:rsidP="00FA2147">
            <w:pPr>
              <w:pStyle w:val="ListBullet"/>
            </w:pPr>
            <w:r w:rsidRPr="00FA2147">
              <w:t>direct observation</w:t>
            </w:r>
          </w:p>
          <w:p w:rsidR="00000000" w:rsidRPr="00FA2147" w:rsidP="00FA2147">
            <w:pPr>
              <w:pStyle w:val="ListBullet"/>
            </w:pPr>
            <w:r w:rsidRPr="00FA2147">
              <w:t>interviewing the candidate</w:t>
            </w:r>
          </w:p>
          <w:p w:rsidR="00000000" w:rsidRPr="00FA2147" w:rsidP="00FA2147">
            <w:pPr>
              <w:pStyle w:val="ListBullet"/>
            </w:pPr>
            <w:r w:rsidRPr="00FA2147">
              <w:t>journals and workplace documentation</w:t>
            </w:r>
          </w:p>
          <w:p w:rsidR="00000000" w:rsidRPr="00FA2147" w:rsidP="00FA2147">
            <w:pPr>
              <w:pStyle w:val="ListBullet"/>
            </w:pPr>
            <w:r w:rsidRPr="00FA2147">
              <w:t>third party reports from supervisors</w:t>
            </w:r>
          </w:p>
          <w:p w:rsidR="00000000" w:rsidRPr="00FA2147" w:rsidP="00FA2147">
            <w:pPr>
              <w:pStyle w:val="ListBullet"/>
            </w:pPr>
            <w:r w:rsidRPr="00FA2147">
              <w:t>written or oral questions.</w:t>
            </w: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11" w:name="O_121309"/>
      <w:bookmarkEnd w:id="11"/>
      <w:r w:rsidRPr="00FA2147">
        <w:t>Range Statement</w:t>
      </w:r>
    </w:p>
    <w:tbl>
      <w:tblPr>
        <w:tblW w:w="0" w:type="auto"/>
        <w:tblLayout w:type="fixed"/>
        <w:tblCellMar>
          <w:left w:w="62" w:type="dxa"/>
          <w:right w:w="62" w:type="dxa"/>
        </w:tblCellMar>
        <w:tblLook w:val="0000"/>
      </w:tblPr>
      <w:tblGrid>
        <w:gridCol w:w="3060"/>
        <w:gridCol w:w="5580"/>
      </w:tblGrid>
      <w:tr w:rsidTr="0079153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rPr>
                <w:rStyle w:val="SpecialBold"/>
              </w:rPr>
              <w:t>RANGE STATEMENT</w:t>
            </w:r>
          </w:p>
        </w:tc>
      </w:tr>
      <w:tr w:rsidTr="0079153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A2147">
            <w:pPr>
              <w:pStyle w:val="BodyText"/>
              <w:rPr>
                <w:lang w:val="en-NZ"/>
              </w:rPr>
            </w:pPr>
            <w:r w:rsidRPr="00FA2147">
              <w:t xml:space="preserve">The Range Statement relates to the Unit of Competency as a whole. It allows for different work environments and situations that may affect </w:t>
            </w:r>
            <w:r w:rsidRPr="00FA2147">
              <w:t xml:space="preserve">performance. </w:t>
            </w:r>
            <w:r w:rsidRPr="00FA2147">
              <w:rPr>
                <w:rStyle w:val="BoldandItalics"/>
              </w:rPr>
              <w:t>Bold italicised</w:t>
            </w:r>
            <w:r w:rsidRPr="00FA2147">
              <w:t xml:space="preserve"> wording in the Performance Criteria is detailed below.</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ABCA standards</w:t>
            </w:r>
          </w:p>
          <w:p w:rsidR="00000000" w:rsidRPr="00FA2147" w:rsidP="00FA2147">
            <w:pPr>
              <w:pStyle w:val="BodyText"/>
            </w:pPr>
            <w:r w:rsidRPr="00FA2147">
              <w:t xml:space="preserve">Academic texts and papers </w:t>
            </w:r>
          </w:p>
          <w:p w:rsidR="00000000" w:rsidRPr="00FA2147" w:rsidP="00FA2147">
            <w:pPr>
              <w:pStyle w:val="BodyText"/>
            </w:pPr>
            <w:r w:rsidRPr="00FA2147">
              <w:t>Australian Standards</w:t>
            </w:r>
          </w:p>
          <w:p w:rsidR="00000000" w:rsidRPr="00FA2147" w:rsidP="00FA2147">
            <w:pPr>
              <w:pStyle w:val="BodyText"/>
            </w:pPr>
            <w:r w:rsidRPr="00FA2147">
              <w:t>DEFAUST standards and instructions</w:t>
            </w:r>
          </w:p>
          <w:p w:rsidR="00000000" w:rsidRPr="00FA2147" w:rsidP="00FA2147">
            <w:pPr>
              <w:pStyle w:val="BodyText"/>
            </w:pPr>
            <w:r w:rsidRPr="00FA2147">
              <w:t>Defence service publications</w:t>
            </w:r>
          </w:p>
          <w:p w:rsidR="00000000" w:rsidRPr="00FA2147" w:rsidP="00FA2147">
            <w:pPr>
              <w:pStyle w:val="BodyText"/>
            </w:pPr>
            <w:r w:rsidRPr="00FA2147">
              <w:t>Foreign publications</w:t>
            </w:r>
          </w:p>
          <w:p w:rsidR="00000000" w:rsidRPr="00FA2147" w:rsidP="00FA2147">
            <w:pPr>
              <w:pStyle w:val="BodyText"/>
            </w:pPr>
            <w:r w:rsidRPr="00FA2147">
              <w:t>Historical publications</w:t>
            </w:r>
          </w:p>
          <w:p w:rsidR="00000000" w:rsidRPr="00FA2147" w:rsidP="00FA2147">
            <w:pPr>
              <w:pStyle w:val="BodyText"/>
            </w:pPr>
            <w:r w:rsidRPr="00FA2147">
              <w:t>Manufacturer's publications</w:t>
            </w:r>
          </w:p>
          <w:p w:rsidR="00000000" w:rsidP="00FA2147">
            <w:pPr>
              <w:pStyle w:val="BodyText"/>
              <w:rPr>
                <w:lang w:val="en-NZ"/>
              </w:rPr>
            </w:pPr>
            <w:r w:rsidRPr="00FA2147">
              <w:t>NATO standards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Standard research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 xml:space="preserve">Computer databases </w:t>
            </w:r>
          </w:p>
          <w:p w:rsidR="00000000" w:rsidRPr="00FA2147" w:rsidP="00FA2147">
            <w:pPr>
              <w:pStyle w:val="BodyText"/>
            </w:pPr>
            <w:r w:rsidRPr="00FA2147">
              <w:t>Internet access</w:t>
            </w:r>
          </w:p>
          <w:p w:rsidR="00000000" w:rsidP="00FA2147">
            <w:pPr>
              <w:pStyle w:val="BodyText"/>
              <w:rPr>
                <w:lang w:val="en-NZ"/>
              </w:rPr>
            </w:pPr>
            <w:r w:rsidRPr="00FA2147">
              <w:t>Published standards and instructions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Explosive ordnance</w:t>
            </w:r>
            <w:r w:rsidRPr="00FA2147">
              <w:t xml:space="preserve">, </w:t>
            </w:r>
            <w:r w:rsidRPr="00FA2147">
              <w:rPr>
                <w:rStyle w:val="SpecialBold"/>
              </w:rPr>
              <w:t xml:space="preserve">components and associated weapons systems </w:t>
            </w:r>
            <w:r w:rsidRPr="00FA2147">
              <w:rPr>
                <w:rStyle w:val="SpecialBold"/>
              </w:rPr>
              <w:t>design criteria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 xml:space="preserve">Associated safety precautions and hazards </w:t>
            </w:r>
          </w:p>
          <w:p w:rsidR="00000000" w:rsidRPr="00FA2147" w:rsidP="00FA2147">
            <w:pPr>
              <w:pStyle w:val="BodyText"/>
            </w:pPr>
            <w:r w:rsidRPr="00FA2147">
              <w:t>Colour identification schemes</w:t>
            </w:r>
          </w:p>
          <w:p w:rsidR="00000000" w:rsidRPr="00FA2147" w:rsidP="00FA2147">
            <w:pPr>
              <w:pStyle w:val="BodyText"/>
            </w:pPr>
            <w:r w:rsidRPr="00FA2147">
              <w:t>Explosive fill</w:t>
            </w:r>
          </w:p>
          <w:p w:rsidR="00000000" w:rsidRPr="00FA2147" w:rsidP="00FA2147">
            <w:pPr>
              <w:pStyle w:val="BodyText"/>
            </w:pPr>
            <w:r w:rsidRPr="00FA2147">
              <w:t>Fuzing/initiation</w:t>
            </w:r>
          </w:p>
          <w:p w:rsidR="00000000" w:rsidRPr="00FA2147" w:rsidP="00FA2147">
            <w:pPr>
              <w:pStyle w:val="BodyText"/>
            </w:pPr>
            <w:r w:rsidRPr="00FA2147">
              <w:t>Markings</w:t>
            </w:r>
          </w:p>
          <w:p w:rsidR="00000000" w:rsidRPr="00FA2147" w:rsidP="00FA2147">
            <w:pPr>
              <w:pStyle w:val="BodyText"/>
            </w:pPr>
            <w:r w:rsidRPr="00FA2147">
              <w:t>Method of employment</w:t>
            </w:r>
          </w:p>
          <w:p w:rsidR="00000000" w:rsidRPr="00FA2147" w:rsidP="00FA2147">
            <w:pPr>
              <w:pStyle w:val="BodyText"/>
            </w:pPr>
            <w:r w:rsidRPr="00FA2147">
              <w:t>Propulsion systems</w:t>
            </w:r>
          </w:p>
          <w:p w:rsidR="00000000" w:rsidRPr="00FA2147" w:rsidP="00FA2147">
            <w:pPr>
              <w:pStyle w:val="BodyText"/>
            </w:pPr>
            <w:r w:rsidRPr="00FA2147">
              <w:t>Shape</w:t>
            </w:r>
          </w:p>
          <w:p w:rsidR="00000000" w:rsidRPr="00FA2147" w:rsidP="00FA2147">
            <w:pPr>
              <w:pStyle w:val="BodyText"/>
            </w:pPr>
            <w:r w:rsidRPr="00FA2147">
              <w:t>Size</w:t>
            </w:r>
          </w:p>
          <w:p w:rsidR="00000000" w:rsidRPr="00FA2147" w:rsidP="00FA2147">
            <w:pPr>
              <w:pStyle w:val="BodyText"/>
            </w:pPr>
            <w:r w:rsidRPr="00FA2147">
              <w:t>Terminal effects</w:t>
            </w:r>
          </w:p>
          <w:p w:rsidR="00000000" w:rsidP="00FA2147">
            <w:pPr>
              <w:pStyle w:val="BodyText"/>
              <w:rPr>
                <w:lang w:val="en-NZ"/>
              </w:rPr>
            </w:pPr>
            <w:r w:rsidRPr="00FA2147">
              <w:t>Warhead design</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A2147">
            <w:pPr>
              <w:pStyle w:val="BodyText"/>
              <w:rPr>
                <w:lang w:val="en-NZ"/>
              </w:rPr>
            </w:pPr>
            <w:r w:rsidRPr="00FA2147">
              <w:rPr>
                <w:rStyle w:val="SpecialBold"/>
              </w:rPr>
              <w:t>Explosive ordnance</w:t>
            </w:r>
            <w:r w:rsidRPr="00FA2147">
              <w:t xml:space="preserve">, </w:t>
            </w:r>
            <w:r w:rsidRPr="00FA2147">
              <w:rPr>
                <w:rStyle w:val="SpecialBold"/>
              </w:rPr>
              <w:t>component</w:t>
            </w:r>
            <w:r w:rsidRPr="00FA2147">
              <w:rPr>
                <w:rStyle w:val="SpecialBold"/>
              </w:rPr>
              <w:t>s and associated weapons systems performance characteristics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r w:rsidRPr="00FA2147">
              <w:t>Firing sequences</w:t>
            </w:r>
          </w:p>
          <w:p w:rsidR="00000000" w:rsidRPr="00FA2147" w:rsidP="00FA2147">
            <w:pPr>
              <w:pStyle w:val="BodyText"/>
            </w:pPr>
            <w:r w:rsidRPr="00FA2147">
              <w:t>Flight characteristics</w:t>
            </w:r>
          </w:p>
          <w:p w:rsidR="00000000" w:rsidRPr="00FA2147" w:rsidP="00FA2147">
            <w:pPr>
              <w:pStyle w:val="BodyText"/>
            </w:pPr>
            <w:r w:rsidRPr="00FA2147">
              <w:t>Applications, target analysis and attack requirements</w:t>
            </w:r>
          </w:p>
          <w:p w:rsidR="00000000" w:rsidRPr="00FA2147" w:rsidP="00FA2147">
            <w:pPr>
              <w:pStyle w:val="BodyText"/>
            </w:pPr>
            <w:r w:rsidRPr="00FA2147">
              <w:t>Arming sequence</w:t>
            </w:r>
          </w:p>
          <w:p w:rsidR="00000000" w:rsidRPr="00FA2147" w:rsidP="00FA2147">
            <w:pPr>
              <w:pStyle w:val="BodyText"/>
            </w:pPr>
            <w:r w:rsidRPr="00FA2147">
              <w:t>Ballistic performance and tolerances</w:t>
            </w:r>
          </w:p>
          <w:p w:rsidR="00000000" w:rsidRPr="00FA2147" w:rsidP="00FA2147">
            <w:pPr>
              <w:pStyle w:val="BodyText"/>
            </w:pPr>
            <w:r w:rsidRPr="00FA2147">
              <w:t>Energetic materials</w:t>
            </w:r>
          </w:p>
          <w:p w:rsidR="00000000" w:rsidRPr="00FA2147" w:rsidP="00FA2147">
            <w:pPr>
              <w:pStyle w:val="BodyText"/>
            </w:pPr>
            <w:r w:rsidRPr="00FA2147">
              <w:t>Delivery sys</w:t>
            </w:r>
            <w:r w:rsidRPr="00FA2147">
              <w:t>tem characteristics</w:t>
            </w:r>
          </w:p>
          <w:p w:rsidR="00000000" w:rsidRPr="00FA2147" w:rsidP="00FA2147">
            <w:pPr>
              <w:pStyle w:val="BodyText"/>
            </w:pPr>
            <w:r w:rsidRPr="00FA2147">
              <w:t xml:space="preserve">Human factors </w:t>
            </w:r>
          </w:p>
          <w:p w:rsidR="00000000" w:rsidRPr="00FA2147" w:rsidP="00FA2147">
            <w:pPr>
              <w:pStyle w:val="BodyText"/>
            </w:pPr>
            <w:r w:rsidRPr="00FA2147">
              <w:t>Initiation sequence</w:t>
            </w:r>
          </w:p>
          <w:p w:rsidR="00000000" w:rsidRPr="00FA2147" w:rsidP="00FA2147">
            <w:pPr>
              <w:pStyle w:val="BodyText"/>
            </w:pPr>
            <w:r w:rsidRPr="00FA2147">
              <w:t>Preparation sequence</w:t>
            </w:r>
          </w:p>
          <w:p w:rsidR="00000000" w:rsidRPr="00FA2147" w:rsidP="00FA2147">
            <w:pPr>
              <w:pStyle w:val="BodyText"/>
            </w:pPr>
            <w:r w:rsidRPr="00FA2147">
              <w:t>Terminal effects</w:t>
            </w:r>
          </w:p>
          <w:p w:rsidR="00000000" w:rsidP="00FA2147">
            <w:pPr>
              <w:pStyle w:val="BodyText"/>
              <w:rPr>
                <w:lang w:val="en-NZ"/>
              </w:rPr>
            </w:pPr>
            <w:r w:rsidRPr="00FA2147">
              <w:t>Velocities</w:t>
            </w:r>
          </w:p>
        </w:tc>
      </w:tr>
      <w:tr w:rsidTr="0079153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A2147" w:rsidP="00FA2147">
            <w:pPr>
              <w:pStyle w:val="BodyText"/>
            </w:pPr>
          </w:p>
        </w:tc>
      </w:tr>
    </w:tbl>
    <w:p w:rsidR="00000000" w:rsidRPr="00FA2147" w:rsidP="00FA2147">
      <w:pPr>
        <w:pStyle w:val="BodyText"/>
      </w:pPr>
    </w:p>
    <w:p w:rsidR="00000000" w:rsidRPr="00FA2147" w:rsidP="00FA2147">
      <w:pPr>
        <w:pStyle w:val="AllowPageBreak"/>
      </w:pPr>
    </w:p>
    <w:p w:rsidR="00000000" w:rsidRPr="00FA2147" w:rsidP="00FA2147">
      <w:pPr>
        <w:pStyle w:val="Heading1"/>
      </w:pPr>
      <w:bookmarkStart w:id="12" w:name="O_121310"/>
      <w:bookmarkEnd w:id="12"/>
      <w:r w:rsidRPr="00FA2147">
        <w:t>Unit Sector(s)</w:t>
      </w:r>
    </w:p>
    <w:p w:rsidR="00000000" w:rsidRPr="00FA2147" w:rsidP="00FA2147">
      <w:pPr>
        <w:pStyle w:val="BodyText"/>
      </w:pPr>
      <w:r w:rsidRPr="00FA2147">
        <w:t>Not applicable.</w:t>
      </w:r>
    </w:p>
    <w:p w:rsidR="00000000" w:rsidRPr="00FA2147" w:rsidP="00FA2147"/>
    <w:sectPr w:rsidSect="00FA2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3C" w:rsidP="007915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3C" w:rsidP="00FA2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153C" w:rsidP="00FA2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9153C" w:rsidP="00FA2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3C" w:rsidP="007915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3C" w:rsidP="00FA2147">
    <w:pPr>
      <w:pStyle w:val="Header"/>
      <w:framePr w:wrap="around"/>
    </w:pPr>
    <w:r>
      <w:fldChar w:fldCharType="begin"/>
    </w:r>
    <w:r>
      <w:instrText xml:space="preserve"> TITLE   \* MERGEFORMAT </w:instrText>
    </w:r>
    <w:r>
      <w:fldChar w:fldCharType="separate"/>
    </w:r>
    <w:r>
      <w:t>PUADEFEO709D Apply explosive ordnance design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153C" w:rsidP="00FA21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8C3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0A8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1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147"/>
    <w:pPr>
      <w:spacing w:before="360" w:after="60"/>
      <w:outlineLvl w:val="0"/>
    </w:pPr>
    <w:rPr>
      <w:sz w:val="32"/>
    </w:rPr>
  </w:style>
  <w:style w:type="paragraph" w:styleId="Heading2">
    <w:name w:val="heading 2"/>
    <w:basedOn w:val="HeadingBase"/>
    <w:next w:val="BodyText"/>
    <w:link w:val="Heading2Char"/>
    <w:qFormat/>
    <w:rsid w:val="00FA2147"/>
    <w:pPr>
      <w:keepLines/>
      <w:spacing w:before="240" w:after="120"/>
      <w:outlineLvl w:val="1"/>
    </w:pPr>
    <w:rPr>
      <w:sz w:val="28"/>
      <w:szCs w:val="40"/>
    </w:rPr>
  </w:style>
  <w:style w:type="paragraph" w:styleId="Heading3">
    <w:name w:val="heading 3"/>
    <w:basedOn w:val="HeadingBase"/>
    <w:next w:val="BodyText"/>
    <w:link w:val="Heading3Char"/>
    <w:qFormat/>
    <w:rsid w:val="00FA2147"/>
    <w:pPr>
      <w:spacing w:before="180" w:after="120"/>
      <w:outlineLvl w:val="2"/>
    </w:pPr>
    <w:rPr>
      <w:spacing w:val="-10"/>
      <w:kern w:val="32"/>
    </w:rPr>
  </w:style>
  <w:style w:type="paragraph" w:styleId="Heading4">
    <w:name w:val="heading 4"/>
    <w:basedOn w:val="HeadingBase"/>
    <w:next w:val="BodyText"/>
    <w:link w:val="Heading4Char"/>
    <w:qFormat/>
    <w:rsid w:val="00FA2147"/>
    <w:pPr>
      <w:spacing w:before="160" w:after="120"/>
      <w:outlineLvl w:val="3"/>
    </w:pPr>
    <w:rPr>
      <w:sz w:val="22"/>
    </w:rPr>
  </w:style>
  <w:style w:type="paragraph" w:styleId="Heading5">
    <w:name w:val="heading 5"/>
    <w:basedOn w:val="HeadingBase"/>
    <w:next w:val="Normal"/>
    <w:link w:val="Heading5Char"/>
    <w:qFormat/>
    <w:rsid w:val="00FA2147"/>
    <w:pPr>
      <w:spacing w:before="80"/>
      <w:outlineLvl w:val="4"/>
    </w:pPr>
    <w:rPr>
      <w:color w:val="918585"/>
      <w:sz w:val="20"/>
    </w:rPr>
  </w:style>
  <w:style w:type="paragraph" w:styleId="Heading6">
    <w:name w:val="heading 6"/>
    <w:basedOn w:val="HeadingBase"/>
    <w:next w:val="Normal"/>
    <w:link w:val="Heading6Char"/>
    <w:qFormat/>
    <w:rsid w:val="00FA2147"/>
    <w:pPr>
      <w:spacing w:before="60"/>
      <w:outlineLvl w:val="5"/>
    </w:pPr>
    <w:rPr>
      <w:color w:val="918585"/>
      <w:sz w:val="20"/>
    </w:rPr>
  </w:style>
  <w:style w:type="paragraph" w:styleId="Heading7">
    <w:name w:val="heading 7"/>
    <w:basedOn w:val="Normal"/>
    <w:next w:val="Normal"/>
    <w:link w:val="Heading7Char"/>
    <w:qFormat/>
    <w:rsid w:val="00FA2147"/>
    <w:pPr>
      <w:ind w:left="720"/>
      <w:outlineLvl w:val="6"/>
    </w:pPr>
    <w:rPr>
      <w:i/>
    </w:rPr>
  </w:style>
  <w:style w:type="paragraph" w:styleId="Heading8">
    <w:name w:val="heading 8"/>
    <w:basedOn w:val="Normal"/>
    <w:next w:val="Normal"/>
    <w:link w:val="Heading8Char"/>
    <w:qFormat/>
    <w:rsid w:val="00FA2147"/>
    <w:pPr>
      <w:ind w:left="720"/>
      <w:outlineLvl w:val="7"/>
    </w:pPr>
    <w:rPr>
      <w:i/>
    </w:rPr>
  </w:style>
  <w:style w:type="paragraph" w:styleId="Heading9">
    <w:name w:val="heading 9"/>
    <w:basedOn w:val="Normal"/>
    <w:next w:val="Normal"/>
    <w:link w:val="Heading9Char"/>
    <w:qFormat/>
    <w:rsid w:val="00FA2147"/>
    <w:pPr>
      <w:ind w:left="720"/>
      <w:outlineLvl w:val="8"/>
    </w:pPr>
    <w:rPr>
      <w:i/>
    </w:rPr>
  </w:style>
  <w:style w:type="character" w:default="1" w:styleId="DefaultParagraphFont">
    <w:name w:val="Default Paragraph Font"/>
    <w:uiPriority w:val="1"/>
    <w:unhideWhenUsed/>
    <w:rsid w:val="00FA2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147"/>
  </w:style>
  <w:style w:type="character" w:customStyle="1" w:styleId="Heading1Char">
    <w:name w:val="Heading 1 Char"/>
    <w:link w:val="Heading1"/>
    <w:rsid w:val="00FA2147"/>
    <w:rPr>
      <w:rFonts w:ascii="Times New Roman" w:eastAsia="Times New Roman" w:hAnsi="Times New Roman" w:cs="Times New Roman"/>
      <w:b/>
      <w:sz w:val="32"/>
      <w:szCs w:val="20"/>
      <w:lang w:eastAsia="en-US"/>
    </w:rPr>
  </w:style>
  <w:style w:type="paragraph" w:styleId="BodyText">
    <w:name w:val="Body Text"/>
    <w:basedOn w:val="Normal"/>
    <w:link w:val="BodyTextChar"/>
    <w:rsid w:val="00FA2147"/>
    <w:pPr>
      <w:spacing w:before="120" w:after="120"/>
      <w:contextualSpacing/>
    </w:pPr>
    <w:rPr>
      <w:rFonts w:ascii="Times New Roman" w:hAnsi="Times New Roman"/>
      <w:sz w:val="24"/>
      <w:szCs w:val="22"/>
    </w:rPr>
  </w:style>
  <w:style w:type="character" w:customStyle="1" w:styleId="BodyTextChar">
    <w:name w:val="Body Text Char"/>
    <w:link w:val="BodyText"/>
    <w:rsid w:val="00FA2147"/>
    <w:rPr>
      <w:rFonts w:ascii="Times New Roman" w:eastAsia="Times New Roman" w:hAnsi="Times New Roman" w:cs="Times New Roman"/>
      <w:sz w:val="24"/>
      <w:lang w:val="en-US" w:eastAsia="en-US"/>
    </w:rPr>
  </w:style>
  <w:style w:type="paragraph" w:styleId="Footer">
    <w:name w:val="footer"/>
    <w:basedOn w:val="Normal"/>
    <w:link w:val="FooterChar"/>
    <w:rsid w:val="00FA2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2147"/>
    <w:rPr>
      <w:rFonts w:ascii="Times New Roman" w:eastAsia="Times New Roman" w:hAnsi="Times New Roman" w:cs="Times New Roman"/>
      <w:sz w:val="16"/>
      <w:lang w:val="en-US" w:eastAsia="en-US"/>
    </w:rPr>
  </w:style>
  <w:style w:type="paragraph" w:styleId="List">
    <w:name w:val="List"/>
    <w:basedOn w:val="BodyText"/>
    <w:next w:val="BodyText"/>
    <w:rsid w:val="00FA2147"/>
    <w:pPr>
      <w:tabs>
        <w:tab w:val="left" w:pos="340"/>
      </w:tabs>
      <w:spacing w:before="60" w:after="60"/>
      <w:ind w:left="340" w:hanging="340"/>
    </w:pPr>
  </w:style>
  <w:style w:type="paragraph" w:styleId="ListBullet">
    <w:name w:val="List Bullet"/>
    <w:basedOn w:val="List"/>
    <w:rsid w:val="00FA2147"/>
    <w:pPr>
      <w:numPr>
        <w:numId w:val="12"/>
      </w:numPr>
      <w:tabs>
        <w:tab w:val="clear" w:pos="340"/>
      </w:tabs>
      <w:spacing w:before="40" w:after="40"/>
    </w:pPr>
  </w:style>
  <w:style w:type="character" w:customStyle="1" w:styleId="SpecialBold">
    <w:name w:val="Special Bold"/>
    <w:rsid w:val="00FA2147"/>
    <w:rPr>
      <w:b/>
      <w:spacing w:val="0"/>
    </w:rPr>
  </w:style>
  <w:style w:type="paragraph" w:styleId="Header">
    <w:name w:val="header"/>
    <w:basedOn w:val="Normal"/>
    <w:link w:val="HeaderChar"/>
    <w:rsid w:val="00FA2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21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2147"/>
    <w:pPr>
      <w:spacing w:before="240" w:after="120"/>
      <w:outlineLvl w:val="0"/>
    </w:pPr>
    <w:rPr>
      <w:rFonts w:ascii="Times New Roman" w:hAnsi="Times New Roman"/>
      <w:b/>
      <w:sz w:val="28"/>
    </w:rPr>
  </w:style>
  <w:style w:type="paragraph" w:customStyle="1" w:styleId="AllowPageBreak">
    <w:name w:val="AllowPageBreak"/>
    <w:rsid w:val="00FA21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147"/>
    <w:pPr>
      <w:tabs>
        <w:tab w:val="left" w:pos="680"/>
      </w:tabs>
      <w:spacing w:before="60" w:after="60"/>
      <w:ind w:left="680" w:hanging="340"/>
    </w:pPr>
  </w:style>
  <w:style w:type="character" w:customStyle="1" w:styleId="BoldandItalics">
    <w:name w:val="Bold and Italics"/>
    <w:qFormat/>
    <w:rsid w:val="00FA2147"/>
    <w:rPr>
      <w:b/>
      <w:i/>
      <w:u w:val="none"/>
    </w:rPr>
  </w:style>
  <w:style w:type="character" w:customStyle="1" w:styleId="Heading2Char">
    <w:name w:val="Heading 2 Char"/>
    <w:link w:val="Heading2"/>
    <w:rsid w:val="00FA2147"/>
    <w:rPr>
      <w:rFonts w:ascii="Times New Roman" w:eastAsia="Times New Roman" w:hAnsi="Times New Roman" w:cs="Times New Roman"/>
      <w:b/>
      <w:sz w:val="28"/>
      <w:szCs w:val="40"/>
      <w:lang w:eastAsia="en-US"/>
    </w:rPr>
  </w:style>
  <w:style w:type="character" w:customStyle="1" w:styleId="Heading3Char">
    <w:name w:val="Heading 3 Char"/>
    <w:link w:val="Heading3"/>
    <w:rsid w:val="00FA21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2147"/>
    <w:rPr>
      <w:rFonts w:ascii="Times New Roman" w:eastAsia="Times New Roman" w:hAnsi="Times New Roman" w:cs="Times New Roman"/>
      <w:b/>
      <w:szCs w:val="20"/>
      <w:lang w:eastAsia="en-US"/>
    </w:rPr>
  </w:style>
  <w:style w:type="character" w:customStyle="1" w:styleId="Heading5Char">
    <w:name w:val="Heading 5 Char"/>
    <w:link w:val="Heading5"/>
    <w:rsid w:val="00FA21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2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1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1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147"/>
    <w:rPr>
      <w:rFonts w:ascii="Courier New" w:eastAsia="Times New Roman" w:hAnsi="Courier New" w:cs="Times New Roman"/>
      <w:i/>
      <w:szCs w:val="20"/>
      <w:lang w:val="en-US" w:eastAsia="en-US"/>
    </w:rPr>
  </w:style>
  <w:style w:type="paragraph" w:customStyle="1" w:styleId="HeadingBase">
    <w:name w:val="Heading Base"/>
    <w:rsid w:val="00FA2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147"/>
    <w:pPr>
      <w:tabs>
        <w:tab w:val="right" w:leader="dot" w:pos="9072"/>
      </w:tabs>
      <w:ind w:left="567"/>
    </w:pPr>
    <w:rPr>
      <w:szCs w:val="22"/>
    </w:rPr>
  </w:style>
  <w:style w:type="paragraph" w:customStyle="1" w:styleId="TOCBase">
    <w:name w:val="TOC Base"/>
    <w:rsid w:val="00FA2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147"/>
    <w:pPr>
      <w:tabs>
        <w:tab w:val="right" w:leader="dot" w:pos="9072"/>
      </w:tabs>
      <w:spacing w:before="40" w:after="40"/>
      <w:ind w:left="284"/>
    </w:pPr>
    <w:rPr>
      <w:rFonts w:ascii="Times New Roman" w:hAnsi="Times New Roman"/>
    </w:rPr>
  </w:style>
  <w:style w:type="paragraph" w:styleId="TOC1">
    <w:name w:val="toc 1"/>
    <w:basedOn w:val="TOCBase"/>
    <w:next w:val="Normal"/>
    <w:rsid w:val="00FA2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147"/>
    <w:pPr>
      <w:spacing w:before="5040"/>
      <w:jc w:val="center"/>
    </w:pPr>
    <w:rPr>
      <w:sz w:val="48"/>
      <w:szCs w:val="72"/>
      <w:lang w:val="en-US"/>
    </w:rPr>
  </w:style>
  <w:style w:type="character" w:customStyle="1" w:styleId="TitleChar">
    <w:name w:val="Title Char"/>
    <w:link w:val="Title"/>
    <w:rsid w:val="00FA2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147"/>
    <w:pPr>
      <w:tabs>
        <w:tab w:val="left" w:pos="3600"/>
        <w:tab w:val="left" w:pos="3958"/>
      </w:tabs>
    </w:pPr>
  </w:style>
  <w:style w:type="paragraph" w:customStyle="1" w:styleId="Note">
    <w:name w:val="Note"/>
    <w:basedOn w:val="BodyText"/>
    <w:rsid w:val="00FA2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147"/>
    <w:pPr>
      <w:framePr w:wrap="auto" w:hAnchor="text" w:y="6049"/>
    </w:pPr>
    <w:rPr>
      <w:color w:val="000000"/>
      <w:sz w:val="40"/>
    </w:rPr>
  </w:style>
  <w:style w:type="paragraph" w:customStyle="1" w:styleId="TOCTitle">
    <w:name w:val="TOCTitle"/>
    <w:basedOn w:val="Heading1"/>
    <w:rsid w:val="00FA2147"/>
    <w:pPr>
      <w:spacing w:after="240"/>
      <w:jc w:val="center"/>
      <w:outlineLvl w:val="9"/>
    </w:pPr>
    <w:rPr>
      <w:caps/>
    </w:rPr>
  </w:style>
  <w:style w:type="paragraph" w:customStyle="1" w:styleId="Version">
    <w:name w:val="Version"/>
    <w:rsid w:val="00FA21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147"/>
    <w:pPr>
      <w:numPr>
        <w:numId w:val="13"/>
      </w:numPr>
      <w:tabs>
        <w:tab w:val="clear" w:pos="680"/>
      </w:tabs>
    </w:pPr>
  </w:style>
  <w:style w:type="paragraph" w:styleId="Index1">
    <w:name w:val="index 1"/>
    <w:basedOn w:val="Normal"/>
    <w:next w:val="Normal"/>
    <w:semiHidden/>
    <w:rsid w:val="00FA2147"/>
    <w:pPr>
      <w:keepNext w:val="0"/>
      <w:tabs>
        <w:tab w:val="right" w:pos="4176"/>
      </w:tabs>
      <w:ind w:left="198" w:hanging="198"/>
    </w:pPr>
    <w:rPr>
      <w:rFonts w:ascii="Garamond" w:hAnsi="Garamond"/>
    </w:rPr>
  </w:style>
  <w:style w:type="paragraph" w:styleId="IndexHeading">
    <w:name w:val="index heading"/>
    <w:basedOn w:val="Normal"/>
    <w:next w:val="Index1"/>
    <w:semiHidden/>
    <w:rsid w:val="00FA2147"/>
    <w:pPr>
      <w:spacing w:before="120" w:after="120"/>
    </w:pPr>
    <w:rPr>
      <w:rFonts w:ascii="Arial" w:hAnsi="Arial"/>
      <w:b/>
      <w:color w:val="918585"/>
      <w:sz w:val="24"/>
    </w:rPr>
  </w:style>
  <w:style w:type="paragraph" w:customStyle="1" w:styleId="Chapter">
    <w:name w:val="Chapter"/>
    <w:basedOn w:val="Normal"/>
    <w:rsid w:val="00FA2147"/>
    <w:pPr>
      <w:spacing w:before="240"/>
    </w:pPr>
    <w:rPr>
      <w:rFonts w:ascii="Times New Roman" w:hAnsi="Times New Roman"/>
      <w:smallCaps/>
      <w:spacing w:val="80"/>
      <w:sz w:val="28"/>
    </w:rPr>
  </w:style>
  <w:style w:type="paragraph" w:customStyle="1" w:styleId="InChapter">
    <w:name w:val="InChapter"/>
    <w:basedOn w:val="Heading3"/>
    <w:rsid w:val="00FA2147"/>
    <w:pPr>
      <w:spacing w:after="240"/>
      <w:outlineLvl w:val="9"/>
    </w:pPr>
    <w:rPr>
      <w:noProof/>
    </w:rPr>
  </w:style>
  <w:style w:type="paragraph" w:styleId="Index2">
    <w:name w:val="index 2"/>
    <w:basedOn w:val="Normal"/>
    <w:next w:val="Normal"/>
    <w:semiHidden/>
    <w:rsid w:val="00FA2147"/>
    <w:pPr>
      <w:tabs>
        <w:tab w:val="right" w:pos="4176"/>
      </w:tabs>
      <w:ind w:left="568" w:hanging="284"/>
    </w:pPr>
    <w:rPr>
      <w:rFonts w:ascii="Garamond" w:hAnsi="Garamond"/>
    </w:rPr>
  </w:style>
  <w:style w:type="paragraph" w:customStyle="1" w:styleId="Byline">
    <w:name w:val="Byline"/>
    <w:rsid w:val="00FA2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147"/>
    <w:pPr>
      <w:tabs>
        <w:tab w:val="clear" w:pos="3600"/>
        <w:tab w:val="clear" w:pos="3958"/>
      </w:tabs>
      <w:jc w:val="right"/>
    </w:pPr>
  </w:style>
  <w:style w:type="character" w:styleId="Emphasis">
    <w:name w:val="Emphasis"/>
    <w:qFormat/>
    <w:rsid w:val="00FA2147"/>
    <w:rPr>
      <w:i/>
    </w:rPr>
  </w:style>
  <w:style w:type="paragraph" w:styleId="Caption">
    <w:name w:val="caption"/>
    <w:basedOn w:val="BodyText"/>
    <w:next w:val="Normal"/>
    <w:qFormat/>
    <w:rsid w:val="00FA2147"/>
    <w:pPr>
      <w:framePr w:w="2268" w:hSpace="181" w:vSpace="181" w:wrap="around" w:vAnchor="text" w:hAnchor="page" w:x="1135" w:y="285" w:anchorLock="1"/>
    </w:pPr>
    <w:rPr>
      <w:i/>
    </w:rPr>
  </w:style>
  <w:style w:type="paragraph" w:customStyle="1" w:styleId="MiniTOCTitle">
    <w:name w:val="MiniTOCTitle"/>
    <w:basedOn w:val="Heading4"/>
    <w:rsid w:val="00FA2147"/>
    <w:pPr>
      <w:spacing w:before="240"/>
      <w:outlineLvl w:val="9"/>
    </w:pPr>
    <w:rPr>
      <w:noProof/>
      <w:sz w:val="24"/>
    </w:rPr>
  </w:style>
  <w:style w:type="paragraph" w:customStyle="1" w:styleId="MiniTOCItem">
    <w:name w:val="MiniTOCItem"/>
    <w:basedOn w:val="ListBullet"/>
    <w:rsid w:val="00FA2147"/>
    <w:pPr>
      <w:numPr>
        <w:numId w:val="0"/>
      </w:numPr>
      <w:tabs>
        <w:tab w:val="right" w:leader="dot" w:pos="6521"/>
      </w:tabs>
      <w:spacing w:before="0" w:after="0"/>
    </w:pPr>
  </w:style>
  <w:style w:type="paragraph" w:customStyle="1" w:styleId="TOFTitle">
    <w:name w:val="TOFTitle"/>
    <w:basedOn w:val="TOCTitle"/>
    <w:rsid w:val="00FA2147"/>
  </w:style>
  <w:style w:type="paragraph" w:styleId="TableofFigures">
    <w:name w:val="table of figures"/>
    <w:basedOn w:val="Normal"/>
    <w:next w:val="Normal"/>
    <w:semiHidden/>
    <w:rsid w:val="00FA2147"/>
    <w:pPr>
      <w:tabs>
        <w:tab w:val="right" w:leader="dot" w:pos="9072"/>
      </w:tabs>
      <w:ind w:left="970" w:hanging="403"/>
    </w:pPr>
    <w:rPr>
      <w:rFonts w:ascii="Times New Roman" w:hAnsi="Times New Roman"/>
      <w:b/>
    </w:rPr>
  </w:style>
  <w:style w:type="paragraph" w:styleId="ListNumber">
    <w:name w:val="List Number"/>
    <w:basedOn w:val="List"/>
    <w:rsid w:val="00FA2147"/>
    <w:pPr>
      <w:numPr>
        <w:numId w:val="10"/>
      </w:numPr>
    </w:pPr>
  </w:style>
  <w:style w:type="character" w:customStyle="1" w:styleId="WingdingSymbols">
    <w:name w:val="Wingding Symbols"/>
    <w:rsid w:val="00FA2147"/>
    <w:rPr>
      <w:rFonts w:ascii="Wingdings" w:hAnsi="Wingdings"/>
    </w:rPr>
  </w:style>
  <w:style w:type="paragraph" w:customStyle="1" w:styleId="TableHeading">
    <w:name w:val="Table Heading"/>
    <w:basedOn w:val="HeadingBase"/>
    <w:rsid w:val="00FA2147"/>
    <w:pPr>
      <w:keepLines/>
      <w:pBdr>
        <w:bottom w:val="single" w:sz="6" w:space="1" w:color="918585"/>
      </w:pBdr>
      <w:spacing w:before="240"/>
    </w:pPr>
  </w:style>
  <w:style w:type="character" w:customStyle="1" w:styleId="HotSpot">
    <w:name w:val="HotSpot"/>
    <w:rsid w:val="00FA2147"/>
    <w:rPr>
      <w:color w:val="0033CC"/>
      <w:u w:val="none"/>
    </w:rPr>
  </w:style>
  <w:style w:type="paragraph" w:customStyle="1" w:styleId="BodyTextRight">
    <w:name w:val="Body Text Right"/>
    <w:basedOn w:val="BodyText"/>
    <w:rsid w:val="00FA2147"/>
    <w:pPr>
      <w:spacing w:before="0" w:after="0"/>
      <w:jc w:val="right"/>
    </w:pPr>
  </w:style>
  <w:style w:type="paragraph" w:styleId="Index3">
    <w:name w:val="index 3"/>
    <w:basedOn w:val="ListNumber2"/>
    <w:next w:val="Normal"/>
    <w:semiHidden/>
    <w:rsid w:val="00FA2147"/>
    <w:pPr>
      <w:numPr>
        <w:numId w:val="0"/>
      </w:numPr>
      <w:tabs>
        <w:tab w:val="right" w:leader="dot" w:pos="4176"/>
      </w:tabs>
    </w:pPr>
  </w:style>
  <w:style w:type="paragraph" w:styleId="ListNumber2">
    <w:name w:val="List Number 2"/>
    <w:basedOn w:val="List2"/>
    <w:rsid w:val="00FA2147"/>
    <w:pPr>
      <w:numPr>
        <w:numId w:val="9"/>
      </w:numPr>
      <w:tabs>
        <w:tab w:val="clear" w:pos="1060"/>
      </w:tabs>
    </w:pPr>
  </w:style>
  <w:style w:type="paragraph" w:customStyle="1" w:styleId="MarginNote">
    <w:name w:val="Margin Note"/>
    <w:basedOn w:val="BodyText"/>
    <w:rsid w:val="00FA2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21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147"/>
    <w:rPr>
      <w:sz w:val="32"/>
    </w:rPr>
  </w:style>
  <w:style w:type="paragraph" w:customStyle="1" w:styleId="HeadingProcedure">
    <w:name w:val="Heading Procedure"/>
    <w:basedOn w:val="HeadingBase"/>
    <w:next w:val="Normal"/>
    <w:rsid w:val="00FA2147"/>
    <w:pPr>
      <w:tabs>
        <w:tab w:val="left" w:pos="0"/>
      </w:tabs>
      <w:spacing w:before="120" w:after="60"/>
    </w:pPr>
    <w:rPr>
      <w:i/>
      <w:color w:val="918585"/>
      <w:sz w:val="22"/>
    </w:rPr>
  </w:style>
  <w:style w:type="paragraph" w:customStyle="1" w:styleId="TableBodyText">
    <w:name w:val="Table Body Text"/>
    <w:basedOn w:val="BodyText"/>
    <w:rsid w:val="00FA2147"/>
    <w:pPr>
      <w:spacing w:before="60" w:after="60"/>
    </w:pPr>
  </w:style>
  <w:style w:type="paragraph" w:styleId="ListContinue">
    <w:name w:val="List Continue"/>
    <w:basedOn w:val="List"/>
    <w:rsid w:val="00FA2147"/>
    <w:pPr>
      <w:ind w:firstLine="0"/>
    </w:pPr>
  </w:style>
  <w:style w:type="paragraph" w:customStyle="1" w:styleId="ListNote">
    <w:name w:val="List Note"/>
    <w:basedOn w:val="List"/>
    <w:rsid w:val="00FA2147"/>
    <w:pPr>
      <w:pBdr>
        <w:top w:val="single" w:sz="6" w:space="2" w:color="918585"/>
        <w:bottom w:val="single" w:sz="6" w:space="2" w:color="918585"/>
      </w:pBdr>
      <w:tabs>
        <w:tab w:val="left" w:pos="1021"/>
      </w:tabs>
      <w:ind w:firstLine="0"/>
    </w:pPr>
  </w:style>
  <w:style w:type="paragraph" w:customStyle="1" w:styleId="Warning">
    <w:name w:val="Warning"/>
    <w:basedOn w:val="BodyText"/>
    <w:rsid w:val="00FA2147"/>
    <w:pPr>
      <w:shd w:val="clear" w:color="auto" w:fill="D9D9D9"/>
      <w:tabs>
        <w:tab w:val="left" w:pos="992"/>
      </w:tabs>
      <w:ind w:left="119" w:right="119"/>
    </w:pPr>
    <w:rPr>
      <w:sz w:val="20"/>
    </w:rPr>
  </w:style>
  <w:style w:type="paragraph" w:customStyle="1" w:styleId="MarginIcons">
    <w:name w:val="Margin Icons"/>
    <w:basedOn w:val="BodyText"/>
    <w:rsid w:val="00FA21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2147"/>
    <w:rPr>
      <w:rFonts w:ascii="Courier New" w:hAnsi="Courier New"/>
    </w:rPr>
  </w:style>
  <w:style w:type="paragraph" w:customStyle="1" w:styleId="NoteBullet">
    <w:name w:val="Note Bullet"/>
    <w:basedOn w:val="Note"/>
    <w:rsid w:val="00FA2147"/>
    <w:pPr>
      <w:tabs>
        <w:tab w:val="clear" w:pos="680"/>
      </w:tabs>
      <w:spacing w:before="60" w:after="60"/>
    </w:pPr>
  </w:style>
  <w:style w:type="paragraph" w:customStyle="1" w:styleId="SubHeading2">
    <w:name w:val="SubHeading2"/>
    <w:basedOn w:val="HeadingBase"/>
    <w:rsid w:val="00FA2147"/>
    <w:pPr>
      <w:spacing w:before="240" w:after="60"/>
    </w:pPr>
    <w:rPr>
      <w:sz w:val="20"/>
    </w:rPr>
  </w:style>
  <w:style w:type="paragraph" w:customStyle="1" w:styleId="SubHeading1">
    <w:name w:val="SubHeading1"/>
    <w:basedOn w:val="HeadingBase"/>
    <w:rsid w:val="00FA2147"/>
    <w:pPr>
      <w:spacing w:before="240" w:after="60"/>
    </w:pPr>
    <w:rPr>
      <w:color w:val="918585"/>
      <w:sz w:val="22"/>
    </w:rPr>
  </w:style>
  <w:style w:type="paragraph" w:customStyle="1" w:styleId="SideHeading">
    <w:name w:val="Side Heading"/>
    <w:basedOn w:val="HeadingBase"/>
    <w:rsid w:val="00FA2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147"/>
    <w:pPr>
      <w:tabs>
        <w:tab w:val="num" w:pos="360"/>
      </w:tabs>
    </w:pPr>
  </w:style>
  <w:style w:type="paragraph" w:styleId="PlainText">
    <w:name w:val="Plain Text"/>
    <w:basedOn w:val="Normal"/>
    <w:link w:val="PlainTextChar"/>
    <w:rsid w:val="00FA2147"/>
    <w:rPr>
      <w:sz w:val="20"/>
    </w:rPr>
  </w:style>
  <w:style w:type="character" w:customStyle="1" w:styleId="PlainTextChar">
    <w:name w:val="Plain Text Char"/>
    <w:basedOn w:val="DefaultParagraphFont"/>
    <w:link w:val="PlainText"/>
    <w:rsid w:val="00FA2147"/>
    <w:rPr>
      <w:rFonts w:ascii="Courier New" w:eastAsia="Times New Roman" w:hAnsi="Courier New" w:cs="Times New Roman"/>
      <w:sz w:val="20"/>
      <w:szCs w:val="20"/>
      <w:lang w:val="en-US" w:eastAsia="en-US"/>
    </w:rPr>
  </w:style>
  <w:style w:type="character" w:customStyle="1" w:styleId="MenuOption">
    <w:name w:val="Menu Option"/>
    <w:rsid w:val="00FA2147"/>
    <w:rPr>
      <w:b/>
      <w:smallCaps/>
    </w:rPr>
  </w:style>
  <w:style w:type="paragraph" w:customStyle="1" w:styleId="TableListNumber">
    <w:name w:val="Table List Number"/>
    <w:basedOn w:val="ListNumber"/>
    <w:rsid w:val="00FA2147"/>
    <w:pPr>
      <w:numPr>
        <w:numId w:val="0"/>
      </w:numPr>
    </w:pPr>
  </w:style>
  <w:style w:type="paragraph" w:styleId="TOC4">
    <w:name w:val="toc 4"/>
    <w:basedOn w:val="TOCBase"/>
    <w:next w:val="Normal"/>
    <w:semiHidden/>
    <w:rsid w:val="00FA2147"/>
    <w:pPr>
      <w:tabs>
        <w:tab w:val="right" w:leader="dot" w:pos="9071"/>
      </w:tabs>
      <w:ind w:left="1701"/>
    </w:pPr>
  </w:style>
  <w:style w:type="paragraph" w:customStyle="1" w:styleId="ListAlpha">
    <w:name w:val="List Alpha"/>
    <w:basedOn w:val="List"/>
    <w:rsid w:val="00FA2147"/>
    <w:pPr>
      <w:numPr>
        <w:numId w:val="8"/>
      </w:numPr>
    </w:pPr>
  </w:style>
  <w:style w:type="paragraph" w:customStyle="1" w:styleId="ListAlpha2">
    <w:name w:val="List Alpha 2"/>
    <w:basedOn w:val="List2"/>
    <w:rsid w:val="00FA2147"/>
    <w:pPr>
      <w:numPr>
        <w:numId w:val="7"/>
      </w:numPr>
    </w:pPr>
  </w:style>
  <w:style w:type="paragraph" w:styleId="List3">
    <w:name w:val="List 3"/>
    <w:basedOn w:val="BodyText"/>
    <w:rsid w:val="00FA2147"/>
    <w:pPr>
      <w:tabs>
        <w:tab w:val="left" w:pos="1021"/>
      </w:tabs>
      <w:spacing w:before="60" w:after="60"/>
      <w:ind w:left="1020" w:hanging="340"/>
    </w:pPr>
  </w:style>
  <w:style w:type="paragraph" w:styleId="List4">
    <w:name w:val="List 4"/>
    <w:basedOn w:val="BodyText"/>
    <w:rsid w:val="00FA2147"/>
    <w:pPr>
      <w:tabs>
        <w:tab w:val="left" w:pos="1361"/>
      </w:tabs>
      <w:spacing w:before="60" w:after="60"/>
      <w:ind w:left="1361" w:hanging="340"/>
    </w:pPr>
  </w:style>
  <w:style w:type="paragraph" w:styleId="List5">
    <w:name w:val="List 5"/>
    <w:basedOn w:val="BodyText"/>
    <w:rsid w:val="00FA2147"/>
    <w:pPr>
      <w:tabs>
        <w:tab w:val="left" w:pos="1701"/>
      </w:tabs>
      <w:spacing w:before="60" w:after="60"/>
      <w:ind w:left="1701" w:hanging="340"/>
    </w:pPr>
  </w:style>
  <w:style w:type="paragraph" w:styleId="ListBullet3">
    <w:name w:val="List Bullet 3"/>
    <w:basedOn w:val="List3"/>
    <w:rsid w:val="00FA2147"/>
    <w:pPr>
      <w:numPr>
        <w:numId w:val="14"/>
      </w:numPr>
      <w:tabs>
        <w:tab w:val="clear" w:pos="1021"/>
      </w:tabs>
      <w:ind w:left="1037" w:hanging="357"/>
    </w:pPr>
  </w:style>
  <w:style w:type="paragraph" w:styleId="ListBullet4">
    <w:name w:val="List Bullet 4"/>
    <w:basedOn w:val="List4"/>
    <w:rsid w:val="00FA2147"/>
    <w:pPr>
      <w:numPr>
        <w:numId w:val="2"/>
      </w:numPr>
    </w:pPr>
  </w:style>
  <w:style w:type="paragraph" w:styleId="ListBullet5">
    <w:name w:val="List Bullet 5"/>
    <w:basedOn w:val="List5"/>
    <w:rsid w:val="00FA2147"/>
    <w:pPr>
      <w:numPr>
        <w:numId w:val="3"/>
      </w:numPr>
    </w:pPr>
  </w:style>
  <w:style w:type="paragraph" w:styleId="ListContinue2">
    <w:name w:val="List Continue 2"/>
    <w:basedOn w:val="List2"/>
    <w:rsid w:val="00FA2147"/>
    <w:pPr>
      <w:ind w:firstLine="0"/>
    </w:pPr>
  </w:style>
  <w:style w:type="paragraph" w:styleId="ListContinue3">
    <w:name w:val="List Continue 3"/>
    <w:basedOn w:val="List3"/>
    <w:rsid w:val="00FA2147"/>
    <w:pPr>
      <w:ind w:left="1021" w:firstLine="0"/>
    </w:pPr>
  </w:style>
  <w:style w:type="paragraph" w:styleId="ListContinue4">
    <w:name w:val="List Continue 4"/>
    <w:basedOn w:val="List4"/>
    <w:rsid w:val="00FA2147"/>
    <w:pPr>
      <w:ind w:firstLine="0"/>
    </w:pPr>
  </w:style>
  <w:style w:type="paragraph" w:styleId="ListContinue5">
    <w:name w:val="List Continue 5"/>
    <w:basedOn w:val="List5"/>
    <w:rsid w:val="00FA2147"/>
    <w:pPr>
      <w:ind w:firstLine="0"/>
    </w:pPr>
  </w:style>
  <w:style w:type="paragraph" w:styleId="ListNumber3">
    <w:name w:val="List Number 3"/>
    <w:basedOn w:val="List3"/>
    <w:rsid w:val="00FA2147"/>
    <w:pPr>
      <w:numPr>
        <w:numId w:val="4"/>
      </w:numPr>
    </w:pPr>
  </w:style>
  <w:style w:type="paragraph" w:styleId="ListNumber4">
    <w:name w:val="List Number 4"/>
    <w:basedOn w:val="List4"/>
    <w:rsid w:val="00FA2147"/>
    <w:pPr>
      <w:numPr>
        <w:numId w:val="5"/>
      </w:numPr>
    </w:pPr>
  </w:style>
  <w:style w:type="paragraph" w:styleId="ListNumber5">
    <w:name w:val="List Number 5"/>
    <w:basedOn w:val="List5"/>
    <w:rsid w:val="00FA2147"/>
    <w:pPr>
      <w:numPr>
        <w:numId w:val="6"/>
      </w:numPr>
    </w:pPr>
  </w:style>
  <w:style w:type="paragraph" w:styleId="BlockText">
    <w:name w:val="Block Text"/>
    <w:basedOn w:val="Normal"/>
    <w:rsid w:val="00FA2147"/>
    <w:pPr>
      <w:spacing w:after="120"/>
      <w:ind w:left="1440" w:right="1440"/>
    </w:pPr>
  </w:style>
  <w:style w:type="character" w:customStyle="1" w:styleId="Subscript">
    <w:name w:val="Subscript"/>
    <w:rsid w:val="00FA2147"/>
    <w:rPr>
      <w:sz w:val="16"/>
      <w:vertAlign w:val="subscript"/>
    </w:rPr>
  </w:style>
  <w:style w:type="character" w:customStyle="1" w:styleId="Superscript">
    <w:name w:val="Superscript"/>
    <w:rsid w:val="00FA2147"/>
    <w:rPr>
      <w:sz w:val="16"/>
      <w:vertAlign w:val="superscript"/>
    </w:rPr>
  </w:style>
  <w:style w:type="character" w:customStyle="1" w:styleId="Symbols">
    <w:name w:val="Symbols"/>
    <w:rsid w:val="00FA2147"/>
    <w:rPr>
      <w:rFonts w:ascii="Symbol" w:hAnsi="Symbol"/>
    </w:rPr>
  </w:style>
  <w:style w:type="character" w:customStyle="1" w:styleId="MenuOptions">
    <w:name w:val="Menu Options"/>
    <w:rsid w:val="00FA2147"/>
    <w:rPr>
      <w:rFonts w:ascii="Arial Narrow" w:hAnsi="Arial Narrow"/>
      <w:smallCaps/>
    </w:rPr>
  </w:style>
  <w:style w:type="character" w:customStyle="1" w:styleId="Buttons">
    <w:name w:val="Buttons"/>
    <w:rsid w:val="00FA2147"/>
    <w:rPr>
      <w:b/>
    </w:rPr>
  </w:style>
  <w:style w:type="character" w:customStyle="1" w:styleId="Underlined">
    <w:name w:val="Underlined"/>
    <w:rsid w:val="00FA2147"/>
    <w:rPr>
      <w:u w:val="single"/>
    </w:rPr>
  </w:style>
  <w:style w:type="paragraph" w:customStyle="1" w:styleId="TableBodyTextRight">
    <w:name w:val="Table Body Text Right"/>
    <w:basedOn w:val="TableBodyText"/>
    <w:rsid w:val="00FA2147"/>
    <w:pPr>
      <w:widowControl w:val="0"/>
      <w:autoSpaceDE w:val="0"/>
      <w:autoSpaceDN w:val="0"/>
      <w:adjustRightInd w:val="0"/>
      <w:jc w:val="right"/>
    </w:pPr>
    <w:rPr>
      <w:rFonts w:cs="Arial"/>
      <w:szCs w:val="18"/>
    </w:rPr>
  </w:style>
  <w:style w:type="paragraph" w:customStyle="1" w:styleId="CopyrightText">
    <w:name w:val="Copyright Text"/>
    <w:basedOn w:val="BodyText"/>
    <w:rsid w:val="00FA2147"/>
    <w:rPr>
      <w:sz w:val="18"/>
    </w:rPr>
  </w:style>
  <w:style w:type="paragraph" w:customStyle="1" w:styleId="BodySmallRight">
    <w:name w:val="Body Small Right"/>
    <w:basedOn w:val="BodyTextRight"/>
    <w:rsid w:val="00FA2147"/>
    <w:rPr>
      <w:sz w:val="18"/>
      <w:szCs w:val="18"/>
    </w:rPr>
  </w:style>
  <w:style w:type="paragraph" w:customStyle="1" w:styleId="MarginEdition">
    <w:name w:val="Margin Edition"/>
    <w:basedOn w:val="MarginNote"/>
    <w:rsid w:val="00FA2147"/>
    <w:pPr>
      <w:spacing w:before="0" w:after="0"/>
    </w:pPr>
    <w:rPr>
      <w:rFonts w:ascii="Times New Roman" w:hAnsi="Times New Roman"/>
      <w:color w:val="999999"/>
    </w:rPr>
  </w:style>
  <w:style w:type="paragraph" w:customStyle="1" w:styleId="Spacer">
    <w:name w:val="Spacer"/>
    <w:basedOn w:val="Normal"/>
    <w:rsid w:val="00FA2147"/>
    <w:rPr>
      <w:sz w:val="2"/>
      <w:szCs w:val="2"/>
    </w:rPr>
  </w:style>
  <w:style w:type="character" w:customStyle="1" w:styleId="Small">
    <w:name w:val="Small"/>
    <w:rsid w:val="00FA2147"/>
    <w:rPr>
      <w:sz w:val="16"/>
    </w:rPr>
  </w:style>
  <w:style w:type="paragraph" w:customStyle="1" w:styleId="WideTable">
    <w:name w:val="Wide Table"/>
    <w:basedOn w:val="Normal"/>
    <w:rsid w:val="00FA2147"/>
    <w:pPr>
      <w:ind w:left="-1418"/>
    </w:pPr>
    <w:rPr>
      <w:sz w:val="2"/>
      <w:szCs w:val="2"/>
    </w:rPr>
  </w:style>
  <w:style w:type="character" w:styleId="PageNumber">
    <w:name w:val="page number"/>
    <w:rsid w:val="00FA2147"/>
  </w:style>
  <w:style w:type="paragraph" w:styleId="Quote">
    <w:name w:val="Quote"/>
    <w:basedOn w:val="Heading1"/>
    <w:link w:val="QuoteChar"/>
    <w:qFormat/>
    <w:rsid w:val="00FA2147"/>
    <w:rPr>
      <w:b w:val="0"/>
      <w:sz w:val="72"/>
      <w:szCs w:val="72"/>
      <w:lang w:val="en-NZ"/>
    </w:rPr>
  </w:style>
  <w:style w:type="character" w:customStyle="1" w:styleId="QuoteChar">
    <w:name w:val="Quote Char"/>
    <w:link w:val="Quote"/>
    <w:rsid w:val="00FA2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147"/>
    <w:pPr>
      <w:pageBreakBefore/>
    </w:pPr>
  </w:style>
  <w:style w:type="paragraph" w:customStyle="1" w:styleId="Border">
    <w:name w:val="Border"/>
    <w:basedOn w:val="Normal"/>
    <w:qFormat/>
    <w:rsid w:val="00FA2147"/>
    <w:pPr>
      <w:pBdr>
        <w:top w:val="single" w:sz="18" w:space="1" w:color="auto"/>
      </w:pBdr>
    </w:pPr>
    <w:rPr>
      <w:rFonts w:ascii="Times New Roman" w:hAnsi="Times New Roman"/>
      <w:color w:val="FFFFFF"/>
      <w:sz w:val="2"/>
    </w:rPr>
  </w:style>
  <w:style w:type="character" w:styleId="IntenseEmphasis">
    <w:name w:val="Intense Emphasis"/>
    <w:uiPriority w:val="21"/>
    <w:qFormat/>
    <w:rsid w:val="00FA2147"/>
    <w:rPr>
      <w:b/>
      <w:bCs/>
      <w:i/>
      <w:iCs/>
      <w:color w:val="auto"/>
    </w:rPr>
  </w:style>
  <w:style w:type="paragraph" w:styleId="IntenseQuote">
    <w:name w:val="Intense Quote"/>
    <w:basedOn w:val="Normal"/>
    <w:next w:val="Normal"/>
    <w:link w:val="IntenseQuoteChar"/>
    <w:uiPriority w:val="30"/>
    <w:qFormat/>
    <w:rsid w:val="00FA21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2147"/>
    <w:rPr>
      <w:rFonts w:ascii="Courier New" w:eastAsia="Times New Roman" w:hAnsi="Courier New" w:cs="Times New Roman"/>
      <w:b/>
      <w:bCs/>
      <w:i/>
      <w:iCs/>
      <w:szCs w:val="20"/>
      <w:lang w:val="en-US" w:eastAsia="en-US"/>
    </w:rPr>
  </w:style>
  <w:style w:type="character" w:styleId="SubtleReference">
    <w:name w:val="Subtle Reference"/>
    <w:uiPriority w:val="31"/>
    <w:qFormat/>
    <w:rsid w:val="00FA2147"/>
    <w:rPr>
      <w:smallCaps/>
      <w:color w:val="auto"/>
      <w:u w:val="single"/>
    </w:rPr>
  </w:style>
  <w:style w:type="character" w:styleId="IntenseReference">
    <w:name w:val="Intense Reference"/>
    <w:uiPriority w:val="32"/>
    <w:qFormat/>
    <w:rsid w:val="00FA2147"/>
    <w:rPr>
      <w:b/>
      <w:bCs/>
      <w:smallCaps/>
      <w:color w:val="auto"/>
      <w:spacing w:val="5"/>
      <w:u w:val="single"/>
    </w:rPr>
  </w:style>
  <w:style w:type="paragraph" w:customStyle="1" w:styleId="2ColumnHeading">
    <w:name w:val="2Column Heading"/>
    <w:basedOn w:val="BodyText"/>
    <w:qFormat/>
    <w:rsid w:val="00FA2147"/>
    <w:pPr>
      <w:spacing w:after="60"/>
      <w:ind w:left="-2268"/>
    </w:pPr>
    <w:rPr>
      <w:b/>
    </w:rPr>
  </w:style>
  <w:style w:type="paragraph" w:customStyle="1" w:styleId="Heading1TOC">
    <w:name w:val="Heading1 TOC"/>
    <w:basedOn w:val="Normal"/>
    <w:qFormat/>
    <w:rsid w:val="00FA2147"/>
    <w:pPr>
      <w:spacing w:before="240" w:after="120"/>
    </w:pPr>
    <w:rPr>
      <w:rFonts w:ascii="Times New Roman" w:hAnsi="Times New Roman"/>
      <w:b/>
      <w:sz w:val="32"/>
    </w:rPr>
  </w:style>
  <w:style w:type="paragraph" w:customStyle="1" w:styleId="Heading2TOC">
    <w:name w:val="Heading2 TOC"/>
    <w:basedOn w:val="Normal"/>
    <w:qFormat/>
    <w:rsid w:val="00FA2147"/>
    <w:pPr>
      <w:spacing w:before="240" w:after="60"/>
    </w:pPr>
    <w:rPr>
      <w:rFonts w:ascii="Times New Roman" w:hAnsi="Times New Roman"/>
      <w:b/>
      <w:sz w:val="28"/>
    </w:rPr>
  </w:style>
  <w:style w:type="character" w:customStyle="1" w:styleId="Underline">
    <w:name w:val="Underline"/>
    <w:qFormat/>
    <w:rsid w:val="00FA2147"/>
    <w:rPr>
      <w:u w:val="single"/>
    </w:rPr>
  </w:style>
  <w:style w:type="paragraph" w:styleId="BalloonText">
    <w:name w:val="Balloon Text"/>
    <w:basedOn w:val="Normal"/>
    <w:link w:val="BalloonTextChar"/>
    <w:rsid w:val="00FA2147"/>
    <w:rPr>
      <w:rFonts w:ascii="Tahoma" w:hAnsi="Tahoma" w:cs="Tahoma"/>
      <w:sz w:val="16"/>
      <w:szCs w:val="16"/>
    </w:rPr>
  </w:style>
  <w:style w:type="character" w:customStyle="1" w:styleId="BalloonTextChar">
    <w:name w:val="Balloon Text Char"/>
    <w:link w:val="BalloonText"/>
    <w:rsid w:val="00FA21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1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21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779</Words>
  <Characters>5357</Characters>
  <Application>Microsoft Office Word</Application>
  <DocSecurity>0</DocSecurity>
  <Lines>218</Lines>
  <Paragraphs>116</Paragraphs>
  <ScaleCrop>false</ScaleCrop>
  <Company>Author-it Software Corporation Ltd.</Company>
  <LinksUpToDate>false</LinksUpToDate>
  <CharactersWithSpaces>6043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PUADEFEO709D Apply explosive ordnance design principles</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2012-05-26T04:21:00Z</dcterms:created>
  <dcterms:modified xsi:type="dcterms:W3CDTF">2012-05-26T04:21:00Z</dcterms:modified>
</cp:coreProperties>
</file>