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B86" w:rsidP="00D40B86">
      <w:pPr>
        <w:pStyle w:val="Title"/>
      </w:pPr>
      <w:r>
        <w:fldChar w:fldCharType="begin"/>
      </w:r>
      <w:r>
        <w:instrText xml:space="preserve"> TITLE   \* MERGEFORMAT </w:instrText>
      </w:r>
      <w:r>
        <w:fldChar w:fldCharType="separate"/>
      </w:r>
      <w:r>
        <w:t>PUADEFEO501D Conduct explosive ordnance inspection</w:t>
      </w:r>
      <w:r>
        <w:fldChar w:fldCharType="end"/>
      </w:r>
    </w:p>
    <w:p w:rsidR="00D40B86" w:rsidP="00D40B86">
      <w:pPr>
        <w:pStyle w:val="Version"/>
        <w:sectPr w:rsidSect="002623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23DE" w:rsidP="002623DE">
      <w:pPr>
        <w:pStyle w:val="SuperHeading"/>
      </w:pPr>
      <w:r w:rsidRPr="002623DE">
        <w:t>PUADEFEO501D Conduct explosive ordnance inspection</w:t>
      </w:r>
    </w:p>
    <w:p w:rsidR="00000000" w:rsidRPr="002623DE" w:rsidP="002623DE">
      <w:pPr>
        <w:pStyle w:val="SuperHeading"/>
      </w:pPr>
    </w:p>
    <w:p w:rsidR="00000000" w:rsidRPr="002623DE" w:rsidP="002623DE">
      <w:pPr>
        <w:pStyle w:val="Heading1"/>
      </w:pPr>
      <w:bookmarkStart w:id="1" w:name="O_120975"/>
      <w:bookmarkEnd w:id="1"/>
      <w:r w:rsidRPr="002623DE">
        <w:t>Modification History</w:t>
      </w:r>
    </w:p>
    <w:p w:rsidR="00000000" w:rsidRPr="002623DE" w:rsidP="002623DE">
      <w:pPr>
        <w:pStyle w:val="BodyText"/>
      </w:pPr>
      <w:r w:rsidRPr="002623DE">
        <w:t>Not applicable.</w:t>
      </w:r>
    </w:p>
    <w:p w:rsidR="00000000" w:rsidRPr="002623DE" w:rsidP="002623DE">
      <w:pPr>
        <w:pStyle w:val="AllowPageBreak"/>
      </w:pPr>
    </w:p>
    <w:p w:rsidR="00000000" w:rsidRPr="002623DE" w:rsidP="002623DE">
      <w:pPr>
        <w:pStyle w:val="Heading1"/>
      </w:pPr>
      <w:bookmarkStart w:id="2" w:name="O_120976"/>
      <w:bookmarkEnd w:id="2"/>
      <w:r w:rsidRPr="002623DE">
        <w:t>Unit Descriptor</w:t>
      </w:r>
    </w:p>
    <w:tbl>
      <w:tblPr>
        <w:tblW w:w="0" w:type="auto"/>
        <w:tblLayout w:type="fixed"/>
        <w:tblCellMar>
          <w:left w:w="62" w:type="dxa"/>
          <w:right w:w="62" w:type="dxa"/>
        </w:tblCellMar>
        <w:tblLook w:val="0000"/>
      </w:tblPr>
      <w:tblGrid>
        <w:gridCol w:w="3060"/>
        <w:gridCol w:w="5580"/>
      </w:tblGrid>
      <w:tr w:rsidTr="00D40B8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2623DE" w:rsidP="002623DE">
            <w:pPr>
              <w:pStyle w:val="BodyText"/>
            </w:pPr>
            <w:r w:rsidRPr="002623DE">
              <w:t>This unit covers the competency required to conduct an inspection on all types of explosive ordnan</w:t>
            </w:r>
            <w:r w:rsidRPr="002623DE">
              <w:t>ce in order to assess its condition and to process further action.</w:t>
            </w:r>
          </w:p>
        </w:tc>
      </w:tr>
    </w:tbl>
    <w:p w:rsidR="00000000" w:rsidRPr="002623DE" w:rsidP="002623DE">
      <w:pPr>
        <w:pStyle w:val="BodyText"/>
      </w:pPr>
    </w:p>
    <w:p w:rsidR="00000000" w:rsidRPr="002623DE" w:rsidP="002623DE">
      <w:pPr>
        <w:pStyle w:val="AllowPageBreak"/>
      </w:pPr>
    </w:p>
    <w:p w:rsidR="00000000" w:rsidRPr="002623DE" w:rsidP="002623DE">
      <w:pPr>
        <w:pStyle w:val="Heading1"/>
      </w:pPr>
      <w:bookmarkStart w:id="3" w:name="O_120977"/>
      <w:bookmarkEnd w:id="3"/>
      <w:r w:rsidRPr="002623DE">
        <w:t>Application of the Unit</w:t>
      </w:r>
    </w:p>
    <w:tbl>
      <w:tblPr>
        <w:tblW w:w="0" w:type="auto"/>
        <w:tblLayout w:type="fixed"/>
        <w:tblCellMar>
          <w:left w:w="62" w:type="dxa"/>
          <w:right w:w="62" w:type="dxa"/>
        </w:tblCellMar>
        <w:tblLook w:val="0000"/>
      </w:tblPr>
      <w:tblGrid>
        <w:gridCol w:w="3060"/>
        <w:gridCol w:w="5580"/>
      </w:tblGrid>
      <w:tr w:rsidTr="00D40B8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623DE" w:rsidP="002623DE">
            <w:pPr>
              <w:pStyle w:val="BodyText"/>
            </w:pPr>
            <w:r w:rsidRPr="002623DE">
              <w:t xml:space="preserve">This competency normally applies to the individual who is required to conduct an inspection on all types of explosive ordnance in order to assess its condition and to process the explosive ordnance for further action. </w:t>
            </w:r>
          </w:p>
          <w:p w:rsidR="00000000" w:rsidP="002623DE">
            <w:pPr>
              <w:pStyle w:val="BodyText"/>
              <w:rPr>
                <w:lang w:val="en-NZ"/>
              </w:rPr>
            </w:pPr>
            <w:r w:rsidRPr="002623DE">
              <w:t>The inspection of the explosive ordna</w:t>
            </w:r>
            <w:r w:rsidRPr="002623DE">
              <w:t xml:space="preserve">nce is carried out in a logical sequence while adhering to all relevant occupational health and safety (OH&amp;S) requirements. How the explosive ordnance is processed is subject to the outcomes of the inspection. In the case of defective or damaged explosive </w:t>
            </w:r>
            <w:r w:rsidRPr="002623DE">
              <w:t>ordnance it may be retained and returned to the manufacturer, maintained or disposed of, or restrictions may be placed on its use.</w:t>
            </w:r>
          </w:p>
        </w:tc>
      </w:tr>
      <w:tr w:rsidTr="00D40B8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623DE" w:rsidP="002623DE">
            <w:pPr>
              <w:pStyle w:val="BodyText"/>
            </w:pPr>
          </w:p>
        </w:tc>
      </w:tr>
    </w:tbl>
    <w:p w:rsidR="00000000" w:rsidRPr="002623DE" w:rsidP="002623DE">
      <w:pPr>
        <w:pStyle w:val="BodyText"/>
      </w:pPr>
    </w:p>
    <w:p w:rsidR="00000000" w:rsidRPr="002623DE" w:rsidP="002623DE">
      <w:pPr>
        <w:pStyle w:val="AllowPageBreak"/>
      </w:pPr>
    </w:p>
    <w:p w:rsidR="00000000" w:rsidRPr="002623DE" w:rsidP="002623DE">
      <w:pPr>
        <w:pStyle w:val="Heading1"/>
      </w:pPr>
      <w:bookmarkStart w:id="4" w:name="O_120978"/>
      <w:bookmarkEnd w:id="4"/>
      <w:r w:rsidRPr="002623DE">
        <w:t>Licensing/Regulatory Information</w:t>
      </w:r>
    </w:p>
    <w:p w:rsidR="00000000" w:rsidRPr="002623DE" w:rsidP="002623DE">
      <w:pPr>
        <w:pStyle w:val="BodyText"/>
      </w:pPr>
      <w:r w:rsidRPr="002623DE">
        <w:t>Not applicable.</w:t>
      </w:r>
    </w:p>
    <w:p w:rsidR="00000000" w:rsidRPr="002623DE" w:rsidP="002623DE">
      <w:pPr>
        <w:pStyle w:val="AllowPageBreak"/>
      </w:pPr>
    </w:p>
    <w:p w:rsidR="00000000" w:rsidRPr="002623DE" w:rsidP="002623DE">
      <w:pPr>
        <w:pStyle w:val="Heading1"/>
      </w:pPr>
      <w:bookmarkStart w:id="5" w:name="O_120980"/>
      <w:bookmarkEnd w:id="5"/>
      <w:r w:rsidRPr="002623DE">
        <w:t>Pre-Requisites</w:t>
      </w:r>
    </w:p>
    <w:tbl>
      <w:tblPr>
        <w:tblW w:w="0" w:type="auto"/>
        <w:tblLayout w:type="fixed"/>
        <w:tblCellMar>
          <w:left w:w="62" w:type="dxa"/>
          <w:right w:w="62" w:type="dxa"/>
        </w:tblCellMar>
        <w:tblLook w:val="0000"/>
      </w:tblPr>
      <w:tblGrid>
        <w:gridCol w:w="3060"/>
        <w:gridCol w:w="5580"/>
      </w:tblGrid>
      <w:tr w:rsidTr="00D40B8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Pre-requisite Unit</w:t>
            </w:r>
            <w:r w:rsidRPr="002623DE">
              <w:t>/</w:t>
            </w:r>
            <w:r w:rsidRPr="002623D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623DE" w:rsidP="002623DE">
            <w:pPr>
              <w:pStyle w:val="BodyText"/>
            </w:pPr>
            <w:r w:rsidRPr="002623DE">
              <w:t>Nil</w:t>
            </w:r>
          </w:p>
        </w:tc>
      </w:tr>
    </w:tbl>
    <w:p w:rsidR="00000000" w:rsidRPr="002623DE" w:rsidP="002623DE">
      <w:pPr>
        <w:pStyle w:val="BodyText"/>
      </w:pPr>
    </w:p>
    <w:p w:rsidR="00000000" w:rsidRPr="002623DE" w:rsidP="002623DE">
      <w:pPr>
        <w:pStyle w:val="AllowPageBreak"/>
      </w:pPr>
    </w:p>
    <w:p w:rsidR="00000000" w:rsidRPr="002623DE" w:rsidP="002623DE">
      <w:pPr>
        <w:pStyle w:val="Heading1"/>
      </w:pPr>
      <w:bookmarkStart w:id="6" w:name="O_120979"/>
      <w:bookmarkEnd w:id="6"/>
      <w:r w:rsidRPr="002623DE">
        <w:t>Employability Skills Information</w:t>
      </w:r>
    </w:p>
    <w:tbl>
      <w:tblPr>
        <w:tblW w:w="0" w:type="auto"/>
        <w:tblLayout w:type="fixed"/>
        <w:tblCellMar>
          <w:left w:w="62" w:type="dxa"/>
          <w:right w:w="62" w:type="dxa"/>
        </w:tblCellMar>
        <w:tblLook w:val="0000"/>
      </w:tblPr>
      <w:tblGrid>
        <w:gridCol w:w="3060"/>
        <w:gridCol w:w="5580"/>
      </w:tblGrid>
      <w:tr w:rsidTr="00D40B8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2623DE" w:rsidP="002623DE">
            <w:pPr>
              <w:pStyle w:val="BodyText"/>
            </w:pPr>
            <w:r w:rsidRPr="002623DE">
              <w:t>This unit contains employability skills.</w:t>
            </w:r>
          </w:p>
        </w:tc>
      </w:tr>
    </w:tbl>
    <w:p w:rsidR="00000000" w:rsidRPr="002623DE" w:rsidP="002623DE">
      <w:pPr>
        <w:pStyle w:val="BodyText"/>
      </w:pPr>
    </w:p>
    <w:p w:rsidR="00000000" w:rsidRPr="002623DE" w:rsidP="002623DE">
      <w:pPr>
        <w:pStyle w:val="AllowPageBreak"/>
      </w:pPr>
    </w:p>
    <w:p w:rsidR="00000000" w:rsidRPr="002623DE" w:rsidP="002623DE">
      <w:pPr>
        <w:pStyle w:val="Heading1"/>
      </w:pPr>
      <w:bookmarkStart w:id="7" w:name="O_120981"/>
      <w:bookmarkEnd w:id="7"/>
      <w:r w:rsidRPr="002623DE">
        <w:t>Elements and Performance Criteria Pre-Content</w:t>
      </w:r>
    </w:p>
    <w:tbl>
      <w:tblPr>
        <w:tblW w:w="0" w:type="auto"/>
        <w:tblLayout w:type="fixed"/>
        <w:tblCellMar>
          <w:left w:w="62" w:type="dxa"/>
          <w:right w:w="62" w:type="dxa"/>
        </w:tblCellMar>
        <w:tblLook w:val="0000"/>
      </w:tblPr>
      <w:tblGrid>
        <w:gridCol w:w="3060"/>
        <w:gridCol w:w="5580"/>
      </w:tblGrid>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Perform</w:t>
            </w:r>
            <w:r w:rsidRPr="002623DE">
              <w:t>ance Criteria describe the required performance needed to demonstrate achievement of the element. Where bold italicised text is used, further information is detailed in the Required Skills and Knowledge and/or the Range Statement. Assessment of performance</w:t>
            </w:r>
            <w:r w:rsidRPr="002623DE">
              <w:t xml:space="preserve"> is to be consistent with the Evidence Guide.</w:t>
            </w:r>
          </w:p>
        </w:tc>
      </w:tr>
    </w:tbl>
    <w:p w:rsidR="00000000" w:rsidRPr="002623DE" w:rsidP="002623DE">
      <w:pPr>
        <w:pStyle w:val="BodyText"/>
      </w:pPr>
    </w:p>
    <w:p w:rsidR="00000000" w:rsidRPr="002623DE" w:rsidP="002623DE">
      <w:pPr>
        <w:pStyle w:val="AllowPageBreak"/>
      </w:pPr>
    </w:p>
    <w:p w:rsidR="00000000" w:rsidRPr="002623DE" w:rsidP="002623DE">
      <w:pPr>
        <w:pStyle w:val="Heading1"/>
      </w:pPr>
      <w:bookmarkStart w:id="8" w:name="O_120982"/>
      <w:bookmarkEnd w:id="8"/>
      <w:r w:rsidRPr="002623DE">
        <w:t>Elements and Performance Criteria</w:t>
      </w:r>
    </w:p>
    <w:tbl>
      <w:tblPr>
        <w:tblW w:w="0" w:type="auto"/>
        <w:tblLayout w:type="fixed"/>
        <w:tblCellMar>
          <w:left w:w="62" w:type="dxa"/>
          <w:right w:w="62" w:type="dxa"/>
        </w:tblCellMar>
        <w:tblLook w:val="0000"/>
      </w:tblPr>
      <w:tblGrid>
        <w:gridCol w:w="3060"/>
        <w:gridCol w:w="5580"/>
      </w:tblGrid>
      <w:tr w:rsidTr="00D40B8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623DE" w:rsidP="002623DE">
            <w:pPr>
              <w:pStyle w:val="BodyText"/>
            </w:pPr>
            <w:r w:rsidRPr="002623D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PERFORMANCE CRITERIA</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List"/>
              <w:rPr>
                <w:lang w:val="en-NZ"/>
              </w:rPr>
            </w:pPr>
            <w:r w:rsidRPr="002623DE">
              <w:t>1.</w:t>
            </w:r>
            <w:r w:rsidRPr="002623DE">
              <w:tab/>
            </w:r>
            <w:r w:rsidRPr="002623DE">
              <w:rPr>
                <w:rStyle w:val="SpecialBold"/>
              </w:rPr>
              <w:t>Prepare for inspection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List2"/>
            </w:pPr>
            <w:r w:rsidRPr="002623DE">
              <w:t>1.1</w:t>
            </w:r>
            <w:r w:rsidRPr="002623DE">
              <w:tab/>
              <w:t xml:space="preserve">Requirement for </w:t>
            </w:r>
            <w:r w:rsidRPr="002623DE">
              <w:rPr>
                <w:rStyle w:val="BoldandItalics"/>
              </w:rPr>
              <w:t>explosive ordnance inspection</w:t>
            </w:r>
            <w:r w:rsidRPr="002623DE">
              <w:t xml:space="preserve"> is </w:t>
            </w:r>
            <w:r w:rsidRPr="002623DE">
              <w:t>identified from work requests/instructions and confirmed</w:t>
            </w:r>
          </w:p>
          <w:p w:rsidR="00000000" w:rsidRPr="002623DE" w:rsidP="002623DE">
            <w:pPr>
              <w:pStyle w:val="List2"/>
            </w:pPr>
            <w:r w:rsidRPr="002623DE">
              <w:t>1.2</w:t>
            </w:r>
            <w:r w:rsidRPr="002623DE">
              <w:tab/>
              <w:t xml:space="preserve">OH&amp;S requirements, including those contained in </w:t>
            </w:r>
            <w:r w:rsidRPr="002623DE">
              <w:rPr>
                <w:rStyle w:val="BoldandItalics"/>
              </w:rPr>
              <w:t>organisational</w:t>
            </w:r>
            <w:r w:rsidRPr="002623DE">
              <w:t xml:space="preserve"> procedures, are applied throughout the operation</w:t>
            </w:r>
          </w:p>
          <w:p w:rsidR="00000000" w:rsidRPr="002623DE" w:rsidP="002623DE">
            <w:pPr>
              <w:pStyle w:val="List2"/>
            </w:pPr>
            <w:r w:rsidRPr="002623DE">
              <w:t>1.3</w:t>
            </w:r>
            <w:r w:rsidRPr="002623DE">
              <w:tab/>
            </w:r>
            <w:r w:rsidRPr="002623DE">
              <w:rPr>
                <w:rStyle w:val="BoldandItalics"/>
              </w:rPr>
              <w:t>Technical references</w:t>
            </w:r>
            <w:r w:rsidRPr="002623DE">
              <w:t>, tools and equipment required for the inspection are identified, acquired and prepared in accordance with organisation procedures</w:t>
            </w:r>
          </w:p>
          <w:p w:rsidR="00000000" w:rsidRPr="002623DE" w:rsidP="002623DE">
            <w:pPr>
              <w:pStyle w:val="List2"/>
            </w:pPr>
            <w:r w:rsidRPr="002623DE">
              <w:t>1.4</w:t>
            </w:r>
            <w:r w:rsidRPr="002623DE">
              <w:tab/>
              <w:t>Explosive ordnance is acquired, identified and accounted for, moved or pre-positioned in preparation for inspection</w:t>
            </w:r>
          </w:p>
          <w:p w:rsidR="00000000" w:rsidP="002623DE">
            <w:pPr>
              <w:pStyle w:val="List2"/>
              <w:rPr>
                <w:lang w:val="en-NZ"/>
              </w:rPr>
            </w:pPr>
            <w:r w:rsidRPr="002623DE">
              <w:t>1.5</w:t>
            </w:r>
            <w:r w:rsidRPr="002623DE">
              <w:tab/>
            </w:r>
            <w:r w:rsidRPr="002623DE">
              <w:rPr>
                <w:rStyle w:val="BoldandItalics"/>
              </w:rPr>
              <w:t>N</w:t>
            </w:r>
            <w:r w:rsidRPr="002623DE">
              <w:rPr>
                <w:rStyle w:val="BoldandItalics"/>
              </w:rPr>
              <w:t>et explosive quantities</w:t>
            </w:r>
            <w:r w:rsidRPr="002623DE">
              <w:t xml:space="preserve"> and </w:t>
            </w:r>
            <w:r w:rsidRPr="002623DE">
              <w:rPr>
                <w:rStyle w:val="BoldandItalics"/>
              </w:rPr>
              <w:t>compatibility</w:t>
            </w:r>
            <w:r w:rsidRPr="002623DE">
              <w:t xml:space="preserve"> are identified, calculated, assessed and applied throughout the operation</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23DE">
            <w:pPr>
              <w:pStyle w:val="BodyText"/>
              <w:rPr>
                <w:lang w:val="en-NZ"/>
              </w:rPr>
            </w:pP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List"/>
              <w:rPr>
                <w:lang w:val="en-NZ"/>
              </w:rPr>
            </w:pPr>
            <w:r w:rsidRPr="002623DE">
              <w:t>2.</w:t>
            </w:r>
            <w:r w:rsidRPr="002623DE">
              <w:tab/>
            </w:r>
            <w:r w:rsidRPr="002623DE">
              <w:rPr>
                <w:rStyle w:val="SpecialBold"/>
              </w:rPr>
              <w:t>Inspect explosive ordnance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List2"/>
            </w:pPr>
            <w:r w:rsidRPr="002623DE">
              <w:t>2.1</w:t>
            </w:r>
            <w:r w:rsidRPr="002623DE">
              <w:tab/>
              <w:t xml:space="preserve">Explosive ordnance is inspected in a logical set sequence to ensure that </w:t>
            </w:r>
            <w:r w:rsidRPr="002623DE">
              <w:rPr>
                <w:rStyle w:val="BoldandItalics"/>
              </w:rPr>
              <w:t>defects or damage</w:t>
            </w:r>
            <w:r w:rsidRPr="002623DE">
              <w:t xml:space="preserve"> are not ove</w:t>
            </w:r>
            <w:r w:rsidRPr="002623DE">
              <w:t>rlooked in accordance with organisation policy and procedures and technical specifications</w:t>
            </w:r>
          </w:p>
          <w:p w:rsidR="00000000" w:rsidP="002623DE">
            <w:pPr>
              <w:pStyle w:val="List2"/>
              <w:rPr>
                <w:lang w:val="en-NZ"/>
              </w:rPr>
            </w:pPr>
            <w:r w:rsidRPr="002623DE">
              <w:t>2.2</w:t>
            </w:r>
            <w:r w:rsidRPr="002623DE">
              <w:tab/>
              <w:t>Damage or other defects are identified and recorded in accordance with organisation procedures</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23DE">
            <w:pPr>
              <w:pStyle w:val="BodyText"/>
              <w:rPr>
                <w:lang w:val="en-NZ"/>
              </w:rPr>
            </w:pP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List"/>
              <w:rPr>
                <w:lang w:val="en-NZ"/>
              </w:rPr>
            </w:pPr>
            <w:r w:rsidRPr="002623DE">
              <w:t>3.</w:t>
            </w:r>
            <w:r w:rsidRPr="002623DE">
              <w:tab/>
            </w:r>
            <w:r w:rsidRPr="002623DE">
              <w:rPr>
                <w:rStyle w:val="SpecialBold"/>
              </w:rPr>
              <w:t>Carry out post inspection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List2"/>
            </w:pPr>
            <w:r w:rsidRPr="002623DE">
              <w:t>3.1</w:t>
            </w:r>
            <w:r w:rsidRPr="002623DE">
              <w:tab/>
            </w:r>
            <w:r w:rsidRPr="002623DE">
              <w:t>Explosive ordnance is processed in accordance with organisation procedures</w:t>
            </w:r>
          </w:p>
          <w:p w:rsidR="00000000" w:rsidP="002623DE">
            <w:pPr>
              <w:pStyle w:val="List2"/>
              <w:rPr>
                <w:lang w:val="en-NZ"/>
              </w:rPr>
            </w:pPr>
            <w:r w:rsidRPr="002623DE">
              <w:t>3.2</w:t>
            </w:r>
            <w:r w:rsidRPr="002623DE">
              <w:tab/>
            </w:r>
            <w:r w:rsidRPr="002623DE">
              <w:rPr>
                <w:rStyle w:val="BoldandItalics"/>
              </w:rPr>
              <w:t>Documentation and records</w:t>
            </w:r>
            <w:r w:rsidRPr="002623DE">
              <w:t xml:space="preserve"> are maintained in accordance with statutory, organisation and workshop requirements</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p>
        </w:tc>
      </w:tr>
    </w:tbl>
    <w:p w:rsidR="00000000" w:rsidRPr="002623DE" w:rsidP="002623DE">
      <w:pPr>
        <w:pStyle w:val="BodyText"/>
      </w:pPr>
    </w:p>
    <w:p w:rsidR="00000000" w:rsidRPr="002623DE" w:rsidP="002623DE">
      <w:pPr>
        <w:pStyle w:val="AllowPageBreak"/>
      </w:pPr>
    </w:p>
    <w:p w:rsidR="00000000" w:rsidRPr="002623DE" w:rsidP="002623DE">
      <w:pPr>
        <w:pStyle w:val="Heading1"/>
      </w:pPr>
      <w:bookmarkStart w:id="9" w:name="O_120983"/>
      <w:bookmarkEnd w:id="9"/>
      <w:r w:rsidRPr="002623DE">
        <w:t>Required Skills and Knowledge</w:t>
      </w:r>
    </w:p>
    <w:tbl>
      <w:tblPr>
        <w:tblW w:w="0" w:type="auto"/>
        <w:tblLayout w:type="fixed"/>
        <w:tblCellMar>
          <w:left w:w="62" w:type="dxa"/>
          <w:right w:w="62" w:type="dxa"/>
        </w:tblCellMar>
        <w:tblLook w:val="0000"/>
      </w:tblPr>
      <w:tblGrid>
        <w:gridCol w:w="8640"/>
      </w:tblGrid>
      <w:tr w:rsidTr="00D40B8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REQUIRED SKILLS</w:t>
            </w:r>
            <w:r w:rsidRPr="002623DE">
              <w:rPr>
                <w:rStyle w:val="SpecialBold"/>
              </w:rPr>
              <w:t xml:space="preserve"> AND KNOWLEDGE</w:t>
            </w:r>
          </w:p>
        </w:tc>
      </w:tr>
      <w:tr w:rsidTr="00D40B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t>This describes the essential skills and knowledge and their level, required for this unit.</w:t>
            </w:r>
          </w:p>
        </w:tc>
      </w:tr>
      <w:tr w:rsidTr="00D40B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Required Skills</w:t>
            </w:r>
          </w:p>
        </w:tc>
      </w:tr>
      <w:tr w:rsidTr="00D40B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23DE" w:rsidP="002623DE">
            <w:pPr>
              <w:pStyle w:val="ListBullet"/>
            </w:pPr>
            <w:r w:rsidRPr="002623DE">
              <w:t>apply compatibility constraints</w:t>
            </w:r>
          </w:p>
          <w:p w:rsidR="00000000" w:rsidRPr="002623DE" w:rsidP="002623DE">
            <w:pPr>
              <w:pStyle w:val="ListBullet"/>
            </w:pPr>
            <w:r w:rsidRPr="002623DE">
              <w:t>apply safety policies and structures</w:t>
            </w:r>
          </w:p>
          <w:p w:rsidR="00000000" w:rsidRPr="002623DE" w:rsidP="002623DE">
            <w:pPr>
              <w:pStyle w:val="ListBullet"/>
            </w:pPr>
            <w:r w:rsidRPr="002623DE">
              <w:t>apply OH&amp;S requirements</w:t>
            </w:r>
          </w:p>
          <w:p w:rsidR="00000000" w:rsidRPr="002623DE" w:rsidP="002623DE">
            <w:pPr>
              <w:pStyle w:val="ListBullet"/>
            </w:pPr>
            <w:r w:rsidRPr="002623DE">
              <w:t>calculate net explosive quantity</w:t>
            </w:r>
          </w:p>
          <w:p w:rsidR="00000000" w:rsidRPr="002623DE" w:rsidP="002623DE">
            <w:pPr>
              <w:pStyle w:val="ListBullet"/>
            </w:pPr>
            <w:r w:rsidRPr="002623DE">
              <w:t>communicate orally and in writing</w:t>
            </w:r>
          </w:p>
          <w:p w:rsidR="00000000" w:rsidRPr="002623DE" w:rsidP="002623DE">
            <w:pPr>
              <w:pStyle w:val="ListBullet"/>
            </w:pPr>
            <w:r w:rsidRPr="002623DE">
              <w:t>maintain documentation</w:t>
            </w:r>
          </w:p>
          <w:p w:rsidR="00000000" w:rsidRPr="002623DE" w:rsidP="002623DE">
            <w:pPr>
              <w:pStyle w:val="ListBullet"/>
            </w:pPr>
            <w:r w:rsidRPr="002623DE">
              <w:t>read, access, interpret and apply technical instructions and drawings related to explosive ordnance inspections</w:t>
            </w:r>
          </w:p>
          <w:p w:rsidR="00000000" w:rsidP="002623DE">
            <w:pPr>
              <w:pStyle w:val="ListBullet"/>
              <w:rPr>
                <w:lang w:val="en-NZ"/>
              </w:rPr>
            </w:pPr>
            <w:r w:rsidRPr="002623DE">
              <w:t>use relevant tools and equipment</w:t>
            </w:r>
          </w:p>
        </w:tc>
      </w:tr>
      <w:tr w:rsidTr="00D40B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Required Knowledge</w:t>
            </w:r>
          </w:p>
        </w:tc>
      </w:tr>
      <w:tr w:rsidTr="00D40B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23DE" w:rsidP="002623DE">
            <w:pPr>
              <w:pStyle w:val="ListBullet"/>
            </w:pPr>
            <w:r w:rsidRPr="002623DE">
              <w:t>assessment of compatibility</w:t>
            </w:r>
          </w:p>
          <w:p w:rsidR="00000000" w:rsidRPr="002623DE" w:rsidP="002623DE">
            <w:pPr>
              <w:pStyle w:val="ListBullet"/>
            </w:pPr>
            <w:r w:rsidRPr="002623DE">
              <w:t>calculation of net explosive quantity</w:t>
            </w:r>
          </w:p>
          <w:p w:rsidR="00000000" w:rsidRPr="002623DE" w:rsidP="002623DE">
            <w:pPr>
              <w:pStyle w:val="ListBullet"/>
            </w:pPr>
            <w:r w:rsidRPr="002623DE">
              <w:t>characteristics and limitations of explosive ordnance to be inspected</w:t>
            </w:r>
          </w:p>
          <w:p w:rsidR="00000000" w:rsidRPr="002623DE" w:rsidP="002623DE">
            <w:pPr>
              <w:pStyle w:val="ListBullet"/>
            </w:pPr>
            <w:r w:rsidRPr="002623DE">
              <w:t>inspection procedures</w:t>
            </w:r>
          </w:p>
          <w:p w:rsidR="00000000" w:rsidRPr="002623DE" w:rsidP="002623DE">
            <w:pPr>
              <w:pStyle w:val="ListBullet"/>
            </w:pPr>
            <w:r w:rsidRPr="002623DE">
              <w:t>organisational documentation requirements</w:t>
            </w:r>
          </w:p>
          <w:p w:rsidR="00000000" w:rsidRPr="002623DE" w:rsidP="002623DE">
            <w:pPr>
              <w:pStyle w:val="ListBullet"/>
            </w:pPr>
            <w:r w:rsidRPr="002623DE">
              <w:t>organisationalOH&amp;S requirements</w:t>
            </w:r>
          </w:p>
          <w:p w:rsidR="00000000" w:rsidP="002623DE">
            <w:pPr>
              <w:pStyle w:val="ListBullet"/>
              <w:rPr>
                <w:lang w:val="en-NZ"/>
              </w:rPr>
            </w:pPr>
            <w:r w:rsidRPr="002623DE">
              <w:t>organisational safety policies and structures</w:t>
            </w:r>
          </w:p>
        </w:tc>
      </w:tr>
      <w:tr w:rsidTr="00D40B8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23DE" w:rsidP="002623DE">
            <w:pPr>
              <w:pStyle w:val="BodyText"/>
            </w:pPr>
          </w:p>
        </w:tc>
      </w:tr>
    </w:tbl>
    <w:p w:rsidR="00000000" w:rsidRPr="002623DE" w:rsidP="002623DE">
      <w:pPr>
        <w:pStyle w:val="BodyText"/>
      </w:pPr>
    </w:p>
    <w:p w:rsidR="00000000" w:rsidRPr="002623DE" w:rsidP="002623DE">
      <w:pPr>
        <w:pStyle w:val="AllowPageBreak"/>
      </w:pPr>
    </w:p>
    <w:p w:rsidR="00000000" w:rsidRPr="002623DE" w:rsidP="002623DE">
      <w:pPr>
        <w:pStyle w:val="Heading1"/>
      </w:pPr>
      <w:bookmarkStart w:id="10" w:name="O_120984"/>
      <w:bookmarkEnd w:id="10"/>
      <w:r w:rsidRPr="002623DE">
        <w:t>Evidence Guide</w:t>
      </w:r>
    </w:p>
    <w:tbl>
      <w:tblPr>
        <w:tblW w:w="0" w:type="auto"/>
        <w:tblLayout w:type="fixed"/>
        <w:tblCellMar>
          <w:left w:w="62" w:type="dxa"/>
          <w:right w:w="62" w:type="dxa"/>
        </w:tblCellMar>
        <w:tblLook w:val="0000"/>
      </w:tblPr>
      <w:tblGrid>
        <w:gridCol w:w="3060"/>
        <w:gridCol w:w="5580"/>
      </w:tblGrid>
      <w:tr w:rsidTr="00D40B8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2623DE">
            <w:pPr>
              <w:pStyle w:val="BodyText"/>
              <w:rPr>
                <w:lang w:val="en-NZ"/>
              </w:rPr>
            </w:pP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23DE">
            <w:pPr>
              <w:pStyle w:val="BodyText"/>
              <w:rPr>
                <w:lang w:val="en-NZ"/>
              </w:rPr>
            </w:pP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Assessment must confirm the ability to comply with:</w:t>
            </w:r>
          </w:p>
          <w:p w:rsidR="00000000" w:rsidRPr="002623DE" w:rsidP="002623DE">
            <w:pPr>
              <w:pStyle w:val="ListBullet"/>
            </w:pPr>
            <w:r w:rsidRPr="002623DE">
              <w:t>organisational safety requirements</w:t>
            </w:r>
          </w:p>
          <w:p w:rsidR="00000000" w:rsidRPr="002623DE" w:rsidP="002623DE">
            <w:pPr>
              <w:pStyle w:val="ListBullet"/>
            </w:pPr>
            <w:r w:rsidRPr="002623DE">
              <w:t>appropriate legislative and regulatory requirements.</w:t>
            </w:r>
          </w:p>
          <w:p w:rsidR="00000000" w:rsidRPr="002623DE" w:rsidP="002623DE">
            <w:pPr>
              <w:pStyle w:val="BodyText"/>
            </w:pPr>
            <w:r w:rsidRPr="002623DE">
              <w:t>Assessment must also confirm the ability to work safely within an explosive ordnance environment and to:</w:t>
            </w:r>
          </w:p>
          <w:p w:rsidR="00000000" w:rsidRPr="002623DE" w:rsidP="002623DE">
            <w:pPr>
              <w:pStyle w:val="ListBullet"/>
            </w:pPr>
            <w:r w:rsidRPr="002623DE">
              <w:t>calculate and apply net explosive quantity</w:t>
            </w:r>
          </w:p>
          <w:p w:rsidR="00000000" w:rsidRPr="002623DE" w:rsidP="002623DE">
            <w:pPr>
              <w:pStyle w:val="ListBullet"/>
            </w:pPr>
            <w:r w:rsidRPr="002623DE">
              <w:t>assess and apply compatibility</w:t>
            </w:r>
          </w:p>
          <w:p w:rsidR="00000000" w:rsidRPr="002623DE" w:rsidP="002623DE">
            <w:pPr>
              <w:pStyle w:val="ListBullet"/>
            </w:pPr>
            <w:r w:rsidRPr="002623DE">
              <w:t>process explosive ordna</w:t>
            </w:r>
            <w:r w:rsidRPr="002623DE">
              <w:t>nce</w:t>
            </w:r>
          </w:p>
          <w:p w:rsidR="00000000" w:rsidRPr="002623DE" w:rsidP="002623DE">
            <w:pPr>
              <w:pStyle w:val="ListBullet"/>
            </w:pPr>
            <w:r w:rsidRPr="002623DE">
              <w:t>maintain documentation.</w:t>
            </w:r>
          </w:p>
          <w:p w:rsidR="00000000" w:rsidRPr="002623DE" w:rsidP="002623DE">
            <w:pPr>
              <w:pStyle w:val="BodyText"/>
            </w:pPr>
            <w:r w:rsidRPr="002623DE">
              <w:rPr>
                <w:rStyle w:val="SpecialBold"/>
              </w:rPr>
              <w:t>Consistency in performance</w:t>
            </w:r>
          </w:p>
          <w:p w:rsidR="00000000" w:rsidP="002623DE">
            <w:pPr>
              <w:pStyle w:val="BodyText"/>
              <w:rPr>
                <w:lang w:val="en-NZ"/>
              </w:rPr>
            </w:pPr>
            <w:r w:rsidRPr="002623DE">
              <w:t>Competency should be demonstrated in a range of actual or simulated explosive ordnance contexts.</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23DE">
            <w:pPr>
              <w:pStyle w:val="BodyText"/>
              <w:rPr>
                <w:lang w:val="en-NZ"/>
              </w:rPr>
            </w:pP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2623DE" w:rsidP="002623DE">
            <w:pPr>
              <w:pStyle w:val="BodyText"/>
            </w:pPr>
            <w:r w:rsidRPr="002623D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rPr>
                <w:rStyle w:val="SpecialBold"/>
              </w:rPr>
              <w:t>Context of assessment</w:t>
            </w:r>
          </w:p>
          <w:p w:rsidR="00000000" w:rsidRPr="002623DE" w:rsidP="002623DE">
            <w:pPr>
              <w:pStyle w:val="BodyText"/>
            </w:pPr>
            <w:r w:rsidRPr="002623DE">
              <w:t>Competency should be assessed in the workplace or in a simulated work environment, in accordance with all relevant legislation and organisation requirements.</w:t>
            </w:r>
          </w:p>
          <w:p w:rsidR="00000000" w:rsidRPr="002623DE" w:rsidP="002623DE">
            <w:pPr>
              <w:pStyle w:val="BodyText"/>
            </w:pPr>
            <w:r w:rsidRPr="002623DE">
              <w:rPr>
                <w:rStyle w:val="SpecialBold"/>
              </w:rPr>
              <w:t>Specific resources for assessment</w:t>
            </w:r>
          </w:p>
          <w:p w:rsidR="00000000" w:rsidRPr="002623DE" w:rsidP="002623DE">
            <w:pPr>
              <w:pStyle w:val="BodyText"/>
            </w:pPr>
            <w:r w:rsidRPr="002623DE">
              <w:t>Access is required to:</w:t>
            </w:r>
          </w:p>
          <w:p w:rsidR="00000000" w:rsidP="002623DE">
            <w:pPr>
              <w:pStyle w:val="ListBullet"/>
              <w:rPr>
                <w:lang w:val="en-NZ"/>
              </w:rPr>
            </w:pPr>
            <w:r w:rsidRPr="002623DE">
              <w:t>facilities and resources used in the sto</w:t>
            </w:r>
            <w:r w:rsidRPr="002623DE">
              <w:t>rage, distribution or maintenance of explosive ordnance, including a licensed explosive site.</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23DE">
            <w:pPr>
              <w:pStyle w:val="BodyText"/>
              <w:rPr>
                <w:lang w:val="en-NZ"/>
              </w:rPr>
            </w:pP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Method of assessment</w:t>
            </w:r>
            <w:r w:rsidRPr="002623DE">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This unit may be assessed with the following unit:</w:t>
            </w:r>
          </w:p>
          <w:p w:rsidR="00000000" w:rsidRPr="002623DE" w:rsidP="002623DE">
            <w:pPr>
              <w:pStyle w:val="ListBullet"/>
            </w:pPr>
            <w:r w:rsidRPr="002623DE">
              <w:t>PUADEFEO101D Work safely with explosive ordnance.</w:t>
            </w:r>
          </w:p>
          <w:p w:rsidR="00000000" w:rsidRPr="002623DE" w:rsidP="002623DE">
            <w:pPr>
              <w:pStyle w:val="BodyText"/>
            </w:pPr>
            <w:r w:rsidRPr="002623DE">
              <w:t>In a public safety environment assessment is usually conducted via direct observation in a training environment or in the workplace via subject matter supervision and/or mentoring, which is typically recorded in a competency workbook.</w:t>
            </w:r>
          </w:p>
          <w:p w:rsidR="00000000" w:rsidRPr="002623DE" w:rsidP="002623DE">
            <w:pPr>
              <w:pStyle w:val="BodyText"/>
            </w:pPr>
            <w:r w:rsidRPr="002623DE">
              <w:t>Assessment is complet</w:t>
            </w:r>
            <w:r w:rsidRPr="002623DE">
              <w:t>ed using appropriately qualified assessors who select the most appropriate method of assessment.</w:t>
            </w:r>
          </w:p>
          <w:p w:rsidR="00000000" w:rsidRPr="002623DE" w:rsidP="002623DE">
            <w:pPr>
              <w:pStyle w:val="BodyText"/>
            </w:pPr>
            <w:r w:rsidRPr="002623DE">
              <w:t>Assessment may occur in an operational environment or in an industry-approved simulated work environment. Forms of assessment that are typically used include:</w:t>
            </w:r>
          </w:p>
          <w:p w:rsidR="00000000" w:rsidRPr="002623DE" w:rsidP="002623DE">
            <w:pPr>
              <w:pStyle w:val="ListBullet"/>
            </w:pPr>
            <w:r w:rsidRPr="002623DE">
              <w:t>direct observation</w:t>
            </w:r>
          </w:p>
          <w:p w:rsidR="00000000" w:rsidRPr="002623DE" w:rsidP="002623DE">
            <w:pPr>
              <w:pStyle w:val="ListBullet"/>
            </w:pPr>
            <w:r w:rsidRPr="002623DE">
              <w:t>interviewing the candidate</w:t>
            </w:r>
          </w:p>
          <w:p w:rsidR="00000000" w:rsidRPr="002623DE" w:rsidP="002623DE">
            <w:pPr>
              <w:pStyle w:val="ListBullet"/>
            </w:pPr>
            <w:r w:rsidRPr="002623DE">
              <w:t>journals and workplace documentation</w:t>
            </w:r>
          </w:p>
          <w:p w:rsidR="00000000" w:rsidRPr="002623DE" w:rsidP="002623DE">
            <w:pPr>
              <w:pStyle w:val="ListBullet"/>
            </w:pPr>
            <w:r w:rsidRPr="002623DE">
              <w:t>third party reports from supervisors</w:t>
            </w:r>
          </w:p>
          <w:p w:rsidR="00000000" w:rsidRPr="002623DE" w:rsidP="002623DE">
            <w:pPr>
              <w:pStyle w:val="ListBullet"/>
            </w:pPr>
            <w:r w:rsidRPr="002623DE">
              <w:t>written or oral questions.</w:t>
            </w:r>
          </w:p>
        </w:tc>
      </w:tr>
    </w:tbl>
    <w:p w:rsidR="00000000" w:rsidRPr="002623DE" w:rsidP="002623DE">
      <w:pPr>
        <w:pStyle w:val="BodyText"/>
      </w:pPr>
    </w:p>
    <w:p w:rsidR="00000000" w:rsidRPr="002623DE" w:rsidP="002623DE">
      <w:pPr>
        <w:pStyle w:val="AllowPageBreak"/>
      </w:pPr>
    </w:p>
    <w:p w:rsidR="00000000" w:rsidRPr="002623DE" w:rsidP="002623DE">
      <w:pPr>
        <w:pStyle w:val="Heading1"/>
      </w:pPr>
      <w:bookmarkStart w:id="11" w:name="O_120985"/>
      <w:bookmarkEnd w:id="11"/>
      <w:r w:rsidRPr="002623DE">
        <w:t>Range Statement</w:t>
      </w:r>
    </w:p>
    <w:tbl>
      <w:tblPr>
        <w:tblW w:w="0" w:type="auto"/>
        <w:tblLayout w:type="fixed"/>
        <w:tblCellMar>
          <w:left w:w="62" w:type="dxa"/>
          <w:right w:w="62" w:type="dxa"/>
        </w:tblCellMar>
        <w:tblLook w:val="0000"/>
      </w:tblPr>
      <w:tblGrid>
        <w:gridCol w:w="3060"/>
        <w:gridCol w:w="5580"/>
      </w:tblGrid>
      <w:tr w:rsidTr="00D40B8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rPr>
                <w:rStyle w:val="SpecialBold"/>
              </w:rPr>
              <w:t>RANGE STATEMENT</w:t>
            </w:r>
          </w:p>
        </w:tc>
      </w:tr>
      <w:tr w:rsidTr="00D40B8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623DE">
            <w:pPr>
              <w:pStyle w:val="BodyText"/>
              <w:rPr>
                <w:lang w:val="en-NZ"/>
              </w:rPr>
            </w:pPr>
            <w:r w:rsidRPr="002623DE">
              <w:t>The Range Statemen</w:t>
            </w:r>
            <w:r w:rsidRPr="002623DE">
              <w:t xml:space="preserve">t relates to the Unit of Competency as a whole. It allows for different work environments and situations that may affect performance. </w:t>
            </w:r>
            <w:r w:rsidRPr="002623DE">
              <w:rPr>
                <w:rStyle w:val="BoldandItalics"/>
              </w:rPr>
              <w:t>Bold italicised</w:t>
            </w:r>
            <w:r w:rsidRPr="002623DE">
              <w:t xml:space="preserve"> wording in the Performance Criteria is detailed below.</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Explosive ordnance inspections may be conducted</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A</w:t>
            </w:r>
            <w:r w:rsidRPr="002623DE">
              <w:t>s part of a work program</w:t>
            </w:r>
          </w:p>
          <w:p w:rsidR="00000000" w:rsidRPr="002623DE" w:rsidP="002623DE">
            <w:pPr>
              <w:pStyle w:val="BodyText"/>
            </w:pPr>
            <w:r w:rsidRPr="002623DE">
              <w:t>On direction</w:t>
            </w:r>
          </w:p>
          <w:p w:rsidR="00000000" w:rsidRPr="002623DE" w:rsidP="002623DE">
            <w:pPr>
              <w:pStyle w:val="BodyText"/>
            </w:pPr>
            <w:r w:rsidRPr="002623DE">
              <w:t>On receipt</w:t>
            </w:r>
          </w:p>
          <w:p w:rsidR="00000000" w:rsidRPr="002623DE" w:rsidP="002623DE">
            <w:pPr>
              <w:pStyle w:val="BodyText"/>
            </w:pPr>
            <w:r w:rsidRPr="002623DE">
              <w:t>Prior to maintenance</w:t>
            </w:r>
          </w:p>
          <w:p w:rsidR="00000000" w:rsidRPr="002623DE" w:rsidP="002623DE">
            <w:pPr>
              <w:pStyle w:val="BodyText"/>
            </w:pPr>
            <w:r w:rsidRPr="002623DE">
              <w:t>Prior to or post any activity</w:t>
            </w:r>
          </w:p>
          <w:p w:rsidR="00000000" w:rsidP="002623DE">
            <w:pPr>
              <w:pStyle w:val="BodyText"/>
              <w:rPr>
                <w:lang w:val="en-NZ"/>
              </w:rPr>
            </w:pPr>
            <w:r w:rsidRPr="002623DE">
              <w:t>And may include inspection to confirm free from explosives, the use of special measuring devices, gauges and locally patented tools</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Defence organisation</w:t>
            </w:r>
          </w:p>
          <w:p w:rsidR="00000000" w:rsidRPr="002623DE" w:rsidP="002623DE">
            <w:pPr>
              <w:pStyle w:val="BodyText"/>
            </w:pPr>
            <w:r w:rsidRPr="002623DE">
              <w:t>Enterprises that work with explosive ordnance</w:t>
            </w:r>
          </w:p>
          <w:p w:rsidR="00000000" w:rsidP="002623DE">
            <w:pPr>
              <w:pStyle w:val="BodyText"/>
              <w:rPr>
                <w:lang w:val="en-NZ"/>
              </w:rPr>
            </w:pPr>
            <w:r w:rsidRPr="002623DE">
              <w:t>Other government departments or instrumentalities that work with explosive ordnance</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Technical references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Technical drawings</w:t>
            </w:r>
          </w:p>
          <w:p w:rsidR="00000000" w:rsidRPr="002623DE" w:rsidP="002623DE">
            <w:pPr>
              <w:pStyle w:val="BodyText"/>
            </w:pPr>
            <w:r w:rsidRPr="002623DE">
              <w:t>Technical reference pamphle</w:t>
            </w:r>
            <w:r w:rsidRPr="002623DE">
              <w:t>ts</w:t>
            </w:r>
          </w:p>
          <w:p w:rsidR="00000000" w:rsidRPr="002623DE" w:rsidP="002623DE">
            <w:pPr>
              <w:pStyle w:val="BodyText"/>
            </w:pPr>
            <w:r w:rsidRPr="002623DE">
              <w:t>Orders and instructions</w:t>
            </w:r>
          </w:p>
          <w:p w:rsidR="00000000" w:rsidP="002623DE">
            <w:pPr>
              <w:pStyle w:val="BodyText"/>
              <w:rPr>
                <w:lang w:val="en-NZ"/>
              </w:rPr>
            </w:pPr>
            <w:r w:rsidRPr="002623DE">
              <w:t>Other publications</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Net explosive quantities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2623DE">
            <w:pPr>
              <w:pStyle w:val="BodyText"/>
              <w:rPr>
                <w:lang w:val="en-NZ"/>
              </w:rPr>
            </w:pPr>
            <w:r w:rsidRPr="002623DE">
              <w:t>Explosive capacity calculated in a wide range of activities related to the storage, distribution and maintenance of explosive ordnance</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2623DE">
            <w:pPr>
              <w:pStyle w:val="BodyText"/>
              <w:rPr>
                <w:lang w:val="en-NZ"/>
              </w:rPr>
            </w:pPr>
            <w:r w:rsidRPr="002623DE">
              <w:t>Assessed in a wide rang</w:t>
            </w:r>
            <w:r w:rsidRPr="002623DE">
              <w:t>e of activities related to the storage, distribution and maintenance of explosive ordnance and other hazardous materials</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Inspection may result in explosive ordnance being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Passed for use</w:t>
            </w:r>
          </w:p>
          <w:p w:rsidR="00000000" w:rsidRPr="002623DE" w:rsidP="002623DE">
            <w:pPr>
              <w:pStyle w:val="BodyText"/>
            </w:pPr>
            <w:r w:rsidRPr="002623DE">
              <w:t>Recommended for sentencing</w:t>
            </w:r>
          </w:p>
          <w:p w:rsidR="00000000" w:rsidP="002623DE">
            <w:pPr>
              <w:pStyle w:val="BodyText"/>
              <w:rPr>
                <w:lang w:val="en-NZ"/>
              </w:rPr>
            </w:pPr>
            <w:r w:rsidRPr="002623DE">
              <w:t>Rejected</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Explosive</w:t>
            </w:r>
            <w:r w:rsidRPr="002623DE">
              <w:rPr>
                <w:rStyle w:val="SpecialBold"/>
              </w:rPr>
              <w:t xml:space="preserve"> ordnance defects or damage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Non-compliance with technical specifications</w:t>
            </w:r>
          </w:p>
          <w:p w:rsidR="00000000" w:rsidRPr="002623DE" w:rsidP="002623DE">
            <w:pPr>
              <w:pStyle w:val="BodyText"/>
            </w:pPr>
            <w:r w:rsidRPr="002623DE">
              <w:t>Corrosion</w:t>
            </w:r>
          </w:p>
          <w:p w:rsidR="00000000" w:rsidP="002623DE">
            <w:pPr>
              <w:pStyle w:val="BodyText"/>
              <w:rPr>
                <w:lang w:val="en-NZ"/>
              </w:rPr>
            </w:pPr>
            <w:r w:rsidRPr="002623DE">
              <w:t>Surface damage</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Processing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Disposal, including:</w:t>
            </w:r>
          </w:p>
          <w:p w:rsidR="00000000" w:rsidRPr="002623DE" w:rsidP="002623DE">
            <w:pPr>
              <w:pStyle w:val="ListBullet"/>
            </w:pPr>
            <w:r w:rsidRPr="002623DE">
              <w:t>jettisoning</w:t>
            </w:r>
          </w:p>
          <w:p w:rsidR="00000000" w:rsidRPr="002623DE" w:rsidP="002623DE">
            <w:pPr>
              <w:pStyle w:val="ListBullet"/>
            </w:pPr>
            <w:r w:rsidRPr="002623DE">
              <w:t>ditching</w:t>
            </w:r>
          </w:p>
          <w:p w:rsidR="00000000" w:rsidRPr="002623DE" w:rsidP="002623DE">
            <w:pPr>
              <w:pStyle w:val="ListBullet"/>
            </w:pPr>
            <w:r w:rsidRPr="002623DE">
              <w:t>destruction</w:t>
            </w:r>
          </w:p>
          <w:p w:rsidR="00000000" w:rsidRPr="002623DE" w:rsidP="002623DE">
            <w:pPr>
              <w:pStyle w:val="ListBullet"/>
            </w:pPr>
            <w:r w:rsidRPr="002623DE">
              <w:t>restrictions on use</w:t>
            </w:r>
          </w:p>
          <w:p w:rsidR="00000000" w:rsidP="002623DE">
            <w:pPr>
              <w:pStyle w:val="BodyText"/>
              <w:rPr>
                <w:lang w:val="en-NZ"/>
              </w:rPr>
            </w:pPr>
            <w:r w:rsidRPr="002623DE">
              <w:t>Retention for return or maintenance</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23DE">
            <w:pPr>
              <w:pStyle w:val="BodyText"/>
              <w:rPr>
                <w:lang w:val="en-NZ"/>
              </w:rPr>
            </w:pPr>
            <w:r w:rsidRPr="002623DE">
              <w:rPr>
                <w:rStyle w:val="SpecialBold"/>
              </w:rPr>
              <w:t>Documentation and records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r w:rsidRPr="002623DE">
              <w:t>Receipt and issue records</w:t>
            </w:r>
          </w:p>
          <w:p w:rsidR="00000000" w:rsidRPr="002623DE" w:rsidP="002623DE">
            <w:pPr>
              <w:pStyle w:val="BodyText"/>
            </w:pPr>
            <w:r w:rsidRPr="002623DE">
              <w:t>Timesheets</w:t>
            </w:r>
          </w:p>
          <w:p w:rsidR="00000000" w:rsidP="002623DE">
            <w:pPr>
              <w:pStyle w:val="BodyText"/>
              <w:rPr>
                <w:lang w:val="en-NZ"/>
              </w:rPr>
            </w:pPr>
            <w:r w:rsidRPr="002623DE">
              <w:t>Work records</w:t>
            </w:r>
          </w:p>
        </w:tc>
      </w:tr>
      <w:tr w:rsidTr="00D40B8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623DE" w:rsidP="002623DE">
            <w:pPr>
              <w:pStyle w:val="BodyText"/>
            </w:pPr>
          </w:p>
        </w:tc>
      </w:tr>
    </w:tbl>
    <w:p w:rsidR="00000000" w:rsidRPr="002623DE" w:rsidP="002623DE">
      <w:pPr>
        <w:pStyle w:val="BodyText"/>
      </w:pPr>
    </w:p>
    <w:p w:rsidR="00000000" w:rsidRPr="002623DE" w:rsidP="002623DE">
      <w:pPr>
        <w:pStyle w:val="AllowPageBreak"/>
      </w:pPr>
    </w:p>
    <w:p w:rsidR="00000000" w:rsidRPr="002623DE" w:rsidP="002623DE">
      <w:pPr>
        <w:pStyle w:val="Heading1"/>
      </w:pPr>
      <w:bookmarkStart w:id="12" w:name="O_120986"/>
      <w:bookmarkEnd w:id="12"/>
      <w:r w:rsidRPr="002623DE">
        <w:t>Unit Sector(s)</w:t>
      </w:r>
    </w:p>
    <w:p w:rsidR="00000000" w:rsidRPr="002623DE" w:rsidP="002623DE">
      <w:pPr>
        <w:pStyle w:val="BodyText"/>
      </w:pPr>
      <w:r w:rsidRPr="002623DE">
        <w:t>Not applicable.</w:t>
      </w:r>
    </w:p>
    <w:p w:rsidR="00000000" w:rsidRPr="002623DE" w:rsidP="002623DE"/>
    <w:sectPr w:rsidSect="002623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B86" w:rsidP="00D40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B86" w:rsidP="00262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40B86" w:rsidP="002623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40B86" w:rsidP="002623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B86" w:rsidP="00D40B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B86" w:rsidP="002623DE">
    <w:pPr>
      <w:pStyle w:val="Header"/>
      <w:framePr w:wrap="around"/>
    </w:pPr>
    <w:r>
      <w:fldChar w:fldCharType="begin"/>
    </w:r>
    <w:r>
      <w:instrText xml:space="preserve"> TITLE   \* MERGEFORMAT </w:instrText>
    </w:r>
    <w:r>
      <w:fldChar w:fldCharType="separate"/>
    </w:r>
    <w:r>
      <w:t>PUADEFEO501D Conduct explosive ordnance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0B86" w:rsidP="002623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1278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B0AB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3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23DE"/>
    <w:pPr>
      <w:spacing w:before="360" w:after="60"/>
      <w:outlineLvl w:val="0"/>
    </w:pPr>
    <w:rPr>
      <w:sz w:val="32"/>
    </w:rPr>
  </w:style>
  <w:style w:type="paragraph" w:styleId="Heading2">
    <w:name w:val="heading 2"/>
    <w:basedOn w:val="HeadingBase"/>
    <w:next w:val="BodyText"/>
    <w:link w:val="Heading2Char"/>
    <w:qFormat/>
    <w:rsid w:val="002623DE"/>
    <w:pPr>
      <w:keepLines/>
      <w:spacing w:before="240" w:after="120"/>
      <w:outlineLvl w:val="1"/>
    </w:pPr>
    <w:rPr>
      <w:sz w:val="28"/>
      <w:szCs w:val="40"/>
    </w:rPr>
  </w:style>
  <w:style w:type="paragraph" w:styleId="Heading3">
    <w:name w:val="heading 3"/>
    <w:basedOn w:val="HeadingBase"/>
    <w:next w:val="BodyText"/>
    <w:link w:val="Heading3Char"/>
    <w:qFormat/>
    <w:rsid w:val="002623DE"/>
    <w:pPr>
      <w:spacing w:before="180" w:after="120"/>
      <w:outlineLvl w:val="2"/>
    </w:pPr>
    <w:rPr>
      <w:spacing w:val="-10"/>
      <w:kern w:val="32"/>
    </w:rPr>
  </w:style>
  <w:style w:type="paragraph" w:styleId="Heading4">
    <w:name w:val="heading 4"/>
    <w:basedOn w:val="HeadingBase"/>
    <w:next w:val="BodyText"/>
    <w:link w:val="Heading4Char"/>
    <w:qFormat/>
    <w:rsid w:val="002623DE"/>
    <w:pPr>
      <w:spacing w:before="160" w:after="120"/>
      <w:outlineLvl w:val="3"/>
    </w:pPr>
    <w:rPr>
      <w:sz w:val="22"/>
    </w:rPr>
  </w:style>
  <w:style w:type="paragraph" w:styleId="Heading5">
    <w:name w:val="heading 5"/>
    <w:basedOn w:val="HeadingBase"/>
    <w:next w:val="Normal"/>
    <w:link w:val="Heading5Char"/>
    <w:qFormat/>
    <w:rsid w:val="002623DE"/>
    <w:pPr>
      <w:spacing w:before="80"/>
      <w:outlineLvl w:val="4"/>
    </w:pPr>
    <w:rPr>
      <w:color w:val="918585"/>
      <w:sz w:val="20"/>
    </w:rPr>
  </w:style>
  <w:style w:type="paragraph" w:styleId="Heading6">
    <w:name w:val="heading 6"/>
    <w:basedOn w:val="HeadingBase"/>
    <w:next w:val="Normal"/>
    <w:link w:val="Heading6Char"/>
    <w:qFormat/>
    <w:rsid w:val="002623DE"/>
    <w:pPr>
      <w:spacing w:before="60"/>
      <w:outlineLvl w:val="5"/>
    </w:pPr>
    <w:rPr>
      <w:color w:val="918585"/>
      <w:sz w:val="20"/>
    </w:rPr>
  </w:style>
  <w:style w:type="paragraph" w:styleId="Heading7">
    <w:name w:val="heading 7"/>
    <w:basedOn w:val="Normal"/>
    <w:next w:val="Normal"/>
    <w:link w:val="Heading7Char"/>
    <w:qFormat/>
    <w:rsid w:val="002623DE"/>
    <w:pPr>
      <w:ind w:left="720"/>
      <w:outlineLvl w:val="6"/>
    </w:pPr>
    <w:rPr>
      <w:i/>
    </w:rPr>
  </w:style>
  <w:style w:type="paragraph" w:styleId="Heading8">
    <w:name w:val="heading 8"/>
    <w:basedOn w:val="Normal"/>
    <w:next w:val="Normal"/>
    <w:link w:val="Heading8Char"/>
    <w:qFormat/>
    <w:rsid w:val="002623DE"/>
    <w:pPr>
      <w:ind w:left="720"/>
      <w:outlineLvl w:val="7"/>
    </w:pPr>
    <w:rPr>
      <w:i/>
    </w:rPr>
  </w:style>
  <w:style w:type="paragraph" w:styleId="Heading9">
    <w:name w:val="heading 9"/>
    <w:basedOn w:val="Normal"/>
    <w:next w:val="Normal"/>
    <w:link w:val="Heading9Char"/>
    <w:qFormat/>
    <w:rsid w:val="002623DE"/>
    <w:pPr>
      <w:ind w:left="720"/>
      <w:outlineLvl w:val="8"/>
    </w:pPr>
    <w:rPr>
      <w:i/>
    </w:rPr>
  </w:style>
  <w:style w:type="character" w:default="1" w:styleId="DefaultParagraphFont">
    <w:name w:val="Default Paragraph Font"/>
    <w:uiPriority w:val="1"/>
    <w:unhideWhenUsed/>
    <w:rsid w:val="00262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3DE"/>
  </w:style>
  <w:style w:type="character" w:customStyle="1" w:styleId="Heading1Char">
    <w:name w:val="Heading 1 Char"/>
    <w:basedOn w:val="DefaultParagraphFont"/>
    <w:link w:val="Heading1"/>
    <w:rsid w:val="002623DE"/>
    <w:rPr>
      <w:rFonts w:ascii="Times New Roman" w:eastAsia="Times New Roman" w:hAnsi="Times New Roman" w:cs="Times New Roman"/>
      <w:b/>
      <w:sz w:val="32"/>
      <w:szCs w:val="20"/>
      <w:lang w:eastAsia="en-US"/>
    </w:rPr>
  </w:style>
  <w:style w:type="paragraph" w:styleId="BodyText">
    <w:name w:val="Body Text"/>
    <w:basedOn w:val="Normal"/>
    <w:link w:val="BodyTextChar"/>
    <w:rsid w:val="002623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3DE"/>
    <w:rPr>
      <w:rFonts w:ascii="Times New Roman" w:eastAsia="Times New Roman" w:hAnsi="Times New Roman" w:cs="Times New Roman"/>
      <w:sz w:val="24"/>
      <w:lang w:val="en-US" w:eastAsia="en-US"/>
    </w:rPr>
  </w:style>
  <w:style w:type="paragraph" w:styleId="Footer">
    <w:name w:val="footer"/>
    <w:basedOn w:val="Normal"/>
    <w:link w:val="FooterChar"/>
    <w:rsid w:val="00262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3DE"/>
    <w:rPr>
      <w:rFonts w:ascii="Times New Roman" w:eastAsia="Times New Roman" w:hAnsi="Times New Roman" w:cs="Times New Roman"/>
      <w:sz w:val="16"/>
      <w:lang w:val="en-US" w:eastAsia="en-US"/>
    </w:rPr>
  </w:style>
  <w:style w:type="paragraph" w:styleId="List">
    <w:name w:val="List"/>
    <w:basedOn w:val="BodyText"/>
    <w:next w:val="BodyText"/>
    <w:rsid w:val="002623DE"/>
    <w:pPr>
      <w:tabs>
        <w:tab w:val="left" w:pos="340"/>
      </w:tabs>
      <w:spacing w:before="60" w:after="60"/>
      <w:ind w:left="340" w:hanging="340"/>
    </w:pPr>
  </w:style>
  <w:style w:type="paragraph" w:styleId="ListBullet">
    <w:name w:val="List Bullet"/>
    <w:basedOn w:val="List"/>
    <w:rsid w:val="002623DE"/>
    <w:pPr>
      <w:numPr>
        <w:numId w:val="12"/>
      </w:numPr>
      <w:tabs>
        <w:tab w:val="clear" w:pos="340"/>
      </w:tabs>
      <w:spacing w:before="40" w:after="40"/>
    </w:pPr>
  </w:style>
  <w:style w:type="character" w:customStyle="1" w:styleId="SpecialBold">
    <w:name w:val="Special Bold"/>
    <w:basedOn w:val="DefaultParagraphFont"/>
    <w:rsid w:val="002623DE"/>
    <w:rPr>
      <w:b/>
      <w:spacing w:val="0"/>
    </w:rPr>
  </w:style>
  <w:style w:type="paragraph" w:styleId="Header">
    <w:name w:val="header"/>
    <w:basedOn w:val="Normal"/>
    <w:link w:val="HeaderChar"/>
    <w:rsid w:val="00262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3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23DE"/>
    <w:pPr>
      <w:spacing w:before="240" w:after="120"/>
      <w:outlineLvl w:val="0"/>
    </w:pPr>
    <w:rPr>
      <w:rFonts w:ascii="Times New Roman" w:hAnsi="Times New Roman"/>
      <w:b/>
      <w:sz w:val="28"/>
    </w:rPr>
  </w:style>
  <w:style w:type="paragraph" w:customStyle="1" w:styleId="AllowPageBreak">
    <w:name w:val="AllowPageBreak"/>
    <w:rsid w:val="002623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23DE"/>
    <w:pPr>
      <w:tabs>
        <w:tab w:val="left" w:pos="680"/>
      </w:tabs>
      <w:spacing w:before="60" w:after="60"/>
      <w:ind w:left="680" w:hanging="340"/>
    </w:pPr>
  </w:style>
  <w:style w:type="character" w:customStyle="1" w:styleId="BoldandItalics">
    <w:name w:val="Bold and Italics"/>
    <w:qFormat/>
    <w:rsid w:val="002623DE"/>
    <w:rPr>
      <w:b/>
      <w:i/>
      <w:u w:val="none"/>
    </w:rPr>
  </w:style>
  <w:style w:type="character" w:customStyle="1" w:styleId="Heading2Char">
    <w:name w:val="Heading 2 Char"/>
    <w:basedOn w:val="DefaultParagraphFont"/>
    <w:link w:val="Heading2"/>
    <w:rsid w:val="00262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3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23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23DE"/>
    <w:rPr>
      <w:rFonts w:ascii="Courier New" w:eastAsia="Times New Roman" w:hAnsi="Courier New" w:cs="Times New Roman"/>
      <w:i/>
      <w:szCs w:val="20"/>
      <w:lang w:val="en-US" w:eastAsia="en-US"/>
    </w:rPr>
  </w:style>
  <w:style w:type="paragraph" w:customStyle="1" w:styleId="HeadingBase">
    <w:name w:val="Heading Base"/>
    <w:rsid w:val="00262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3DE"/>
    <w:pPr>
      <w:tabs>
        <w:tab w:val="right" w:leader="dot" w:pos="9072"/>
      </w:tabs>
      <w:ind w:left="567"/>
    </w:pPr>
    <w:rPr>
      <w:szCs w:val="22"/>
    </w:rPr>
  </w:style>
  <w:style w:type="paragraph" w:customStyle="1" w:styleId="TOCBase">
    <w:name w:val="TOC Base"/>
    <w:rsid w:val="00262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3DE"/>
    <w:pPr>
      <w:tabs>
        <w:tab w:val="right" w:leader="dot" w:pos="9072"/>
      </w:tabs>
      <w:spacing w:before="40" w:after="40"/>
      <w:ind w:left="284"/>
    </w:pPr>
    <w:rPr>
      <w:rFonts w:ascii="Times New Roman" w:hAnsi="Times New Roman"/>
    </w:rPr>
  </w:style>
  <w:style w:type="paragraph" w:styleId="TOC1">
    <w:name w:val="toc 1"/>
    <w:basedOn w:val="TOCBase"/>
    <w:next w:val="Normal"/>
    <w:rsid w:val="002623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3DE"/>
    <w:pPr>
      <w:spacing w:before="5040"/>
      <w:jc w:val="center"/>
    </w:pPr>
    <w:rPr>
      <w:sz w:val="48"/>
      <w:szCs w:val="72"/>
      <w:lang w:val="en-US"/>
    </w:rPr>
  </w:style>
  <w:style w:type="character" w:customStyle="1" w:styleId="TitleChar">
    <w:name w:val="Title Char"/>
    <w:basedOn w:val="DefaultParagraphFont"/>
    <w:link w:val="Title"/>
    <w:rsid w:val="00262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3DE"/>
    <w:pPr>
      <w:tabs>
        <w:tab w:val="left" w:pos="3600"/>
        <w:tab w:val="left" w:pos="3958"/>
      </w:tabs>
    </w:pPr>
  </w:style>
  <w:style w:type="paragraph" w:customStyle="1" w:styleId="Note">
    <w:name w:val="Note"/>
    <w:basedOn w:val="BodyText"/>
    <w:rsid w:val="00262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3DE"/>
    <w:pPr>
      <w:framePr w:wrap="auto" w:hAnchor="text" w:y="6049"/>
    </w:pPr>
    <w:rPr>
      <w:color w:val="000000"/>
      <w:sz w:val="40"/>
    </w:rPr>
  </w:style>
  <w:style w:type="paragraph" w:customStyle="1" w:styleId="TOCTitle">
    <w:name w:val="TOCTitle"/>
    <w:basedOn w:val="Heading1"/>
    <w:rsid w:val="002623DE"/>
    <w:pPr>
      <w:spacing w:after="240"/>
      <w:jc w:val="center"/>
      <w:outlineLvl w:val="9"/>
    </w:pPr>
    <w:rPr>
      <w:caps/>
    </w:rPr>
  </w:style>
  <w:style w:type="paragraph" w:customStyle="1" w:styleId="Version">
    <w:name w:val="Version"/>
    <w:rsid w:val="002623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23DE"/>
    <w:pPr>
      <w:numPr>
        <w:numId w:val="13"/>
      </w:numPr>
      <w:tabs>
        <w:tab w:val="clear" w:pos="680"/>
      </w:tabs>
    </w:pPr>
  </w:style>
  <w:style w:type="paragraph" w:styleId="Index1">
    <w:name w:val="index 1"/>
    <w:basedOn w:val="Normal"/>
    <w:next w:val="Normal"/>
    <w:semiHidden/>
    <w:rsid w:val="002623DE"/>
    <w:pPr>
      <w:keepNext w:val="0"/>
      <w:tabs>
        <w:tab w:val="right" w:pos="4176"/>
      </w:tabs>
      <w:ind w:left="198" w:hanging="198"/>
    </w:pPr>
    <w:rPr>
      <w:rFonts w:ascii="Garamond" w:hAnsi="Garamond"/>
    </w:rPr>
  </w:style>
  <w:style w:type="paragraph" w:styleId="IndexHeading">
    <w:name w:val="index heading"/>
    <w:basedOn w:val="Normal"/>
    <w:next w:val="Index1"/>
    <w:semiHidden/>
    <w:rsid w:val="002623DE"/>
    <w:pPr>
      <w:spacing w:before="120" w:after="120"/>
    </w:pPr>
    <w:rPr>
      <w:rFonts w:ascii="Arial" w:hAnsi="Arial"/>
      <w:b/>
      <w:color w:val="918585"/>
      <w:sz w:val="24"/>
    </w:rPr>
  </w:style>
  <w:style w:type="paragraph" w:customStyle="1" w:styleId="Chapter">
    <w:name w:val="Chapter"/>
    <w:basedOn w:val="Normal"/>
    <w:rsid w:val="002623DE"/>
    <w:pPr>
      <w:spacing w:before="240"/>
    </w:pPr>
    <w:rPr>
      <w:rFonts w:ascii="Times New Roman" w:hAnsi="Times New Roman"/>
      <w:smallCaps/>
      <w:spacing w:val="80"/>
      <w:sz w:val="28"/>
    </w:rPr>
  </w:style>
  <w:style w:type="paragraph" w:customStyle="1" w:styleId="InChapter">
    <w:name w:val="InChapter"/>
    <w:basedOn w:val="Heading3"/>
    <w:rsid w:val="002623DE"/>
    <w:pPr>
      <w:spacing w:after="240"/>
      <w:outlineLvl w:val="9"/>
    </w:pPr>
    <w:rPr>
      <w:noProof/>
    </w:rPr>
  </w:style>
  <w:style w:type="paragraph" w:styleId="Index2">
    <w:name w:val="index 2"/>
    <w:basedOn w:val="Normal"/>
    <w:next w:val="Normal"/>
    <w:semiHidden/>
    <w:rsid w:val="002623DE"/>
    <w:pPr>
      <w:tabs>
        <w:tab w:val="right" w:pos="4176"/>
      </w:tabs>
      <w:ind w:left="568" w:hanging="284"/>
    </w:pPr>
    <w:rPr>
      <w:rFonts w:ascii="Garamond" w:hAnsi="Garamond"/>
    </w:rPr>
  </w:style>
  <w:style w:type="paragraph" w:customStyle="1" w:styleId="Byline">
    <w:name w:val="Byline"/>
    <w:rsid w:val="00262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3DE"/>
    <w:pPr>
      <w:tabs>
        <w:tab w:val="clear" w:pos="3600"/>
        <w:tab w:val="clear" w:pos="3958"/>
      </w:tabs>
      <w:jc w:val="right"/>
    </w:pPr>
  </w:style>
  <w:style w:type="character" w:styleId="Emphasis">
    <w:name w:val="Emphasis"/>
    <w:basedOn w:val="DefaultParagraphFont"/>
    <w:qFormat/>
    <w:rsid w:val="002623DE"/>
    <w:rPr>
      <w:i/>
    </w:rPr>
  </w:style>
  <w:style w:type="paragraph" w:styleId="Caption">
    <w:name w:val="caption"/>
    <w:basedOn w:val="BodyText"/>
    <w:next w:val="Normal"/>
    <w:qFormat/>
    <w:rsid w:val="002623DE"/>
    <w:pPr>
      <w:framePr w:w="2268" w:hSpace="181" w:vSpace="181" w:wrap="around" w:vAnchor="text" w:hAnchor="page" w:x="1135" w:y="285" w:anchorLock="1"/>
    </w:pPr>
    <w:rPr>
      <w:i/>
    </w:rPr>
  </w:style>
  <w:style w:type="paragraph" w:customStyle="1" w:styleId="MiniTOCTitle">
    <w:name w:val="MiniTOCTitle"/>
    <w:basedOn w:val="Heading4"/>
    <w:rsid w:val="002623DE"/>
    <w:pPr>
      <w:spacing w:before="240"/>
      <w:outlineLvl w:val="9"/>
    </w:pPr>
    <w:rPr>
      <w:noProof/>
      <w:sz w:val="24"/>
    </w:rPr>
  </w:style>
  <w:style w:type="paragraph" w:customStyle="1" w:styleId="MiniTOCItem">
    <w:name w:val="MiniTOCItem"/>
    <w:basedOn w:val="ListBullet"/>
    <w:rsid w:val="002623DE"/>
    <w:pPr>
      <w:numPr>
        <w:numId w:val="0"/>
      </w:numPr>
      <w:tabs>
        <w:tab w:val="right" w:leader="dot" w:pos="6521"/>
      </w:tabs>
      <w:spacing w:before="0" w:after="0"/>
    </w:pPr>
  </w:style>
  <w:style w:type="paragraph" w:customStyle="1" w:styleId="TOFTitle">
    <w:name w:val="TOFTitle"/>
    <w:basedOn w:val="TOCTitle"/>
    <w:rsid w:val="002623DE"/>
  </w:style>
  <w:style w:type="paragraph" w:styleId="TableofFigures">
    <w:name w:val="table of figures"/>
    <w:basedOn w:val="Normal"/>
    <w:next w:val="Normal"/>
    <w:semiHidden/>
    <w:rsid w:val="002623DE"/>
    <w:pPr>
      <w:tabs>
        <w:tab w:val="right" w:leader="dot" w:pos="9072"/>
      </w:tabs>
      <w:ind w:left="970" w:hanging="403"/>
    </w:pPr>
    <w:rPr>
      <w:rFonts w:ascii="Times New Roman" w:hAnsi="Times New Roman"/>
      <w:b/>
    </w:rPr>
  </w:style>
  <w:style w:type="paragraph" w:styleId="ListNumber">
    <w:name w:val="List Number"/>
    <w:basedOn w:val="List"/>
    <w:rsid w:val="002623DE"/>
    <w:pPr>
      <w:numPr>
        <w:numId w:val="10"/>
      </w:numPr>
    </w:pPr>
  </w:style>
  <w:style w:type="character" w:customStyle="1" w:styleId="WingdingSymbols">
    <w:name w:val="Wingding Symbols"/>
    <w:rsid w:val="002623DE"/>
    <w:rPr>
      <w:rFonts w:ascii="Wingdings" w:hAnsi="Wingdings"/>
    </w:rPr>
  </w:style>
  <w:style w:type="paragraph" w:customStyle="1" w:styleId="TableHeading">
    <w:name w:val="Table Heading"/>
    <w:basedOn w:val="HeadingBase"/>
    <w:rsid w:val="002623DE"/>
    <w:pPr>
      <w:keepLines/>
      <w:pBdr>
        <w:bottom w:val="single" w:sz="6" w:space="1" w:color="918585"/>
      </w:pBdr>
      <w:spacing w:before="240"/>
    </w:pPr>
  </w:style>
  <w:style w:type="character" w:customStyle="1" w:styleId="HotSpot">
    <w:name w:val="HotSpot"/>
    <w:rsid w:val="002623DE"/>
    <w:rPr>
      <w:color w:val="0033CC"/>
      <w:u w:val="none"/>
    </w:rPr>
  </w:style>
  <w:style w:type="paragraph" w:customStyle="1" w:styleId="BodyTextRight">
    <w:name w:val="Body Text Right"/>
    <w:basedOn w:val="BodyText"/>
    <w:rsid w:val="002623DE"/>
    <w:pPr>
      <w:spacing w:before="0" w:after="0"/>
      <w:jc w:val="right"/>
    </w:pPr>
  </w:style>
  <w:style w:type="paragraph" w:styleId="Index3">
    <w:name w:val="index 3"/>
    <w:basedOn w:val="ListNumber2"/>
    <w:next w:val="Normal"/>
    <w:semiHidden/>
    <w:rsid w:val="002623DE"/>
    <w:pPr>
      <w:numPr>
        <w:numId w:val="0"/>
      </w:numPr>
      <w:tabs>
        <w:tab w:val="right" w:leader="dot" w:pos="4176"/>
      </w:tabs>
    </w:pPr>
  </w:style>
  <w:style w:type="paragraph" w:styleId="ListNumber2">
    <w:name w:val="List Number 2"/>
    <w:basedOn w:val="List2"/>
    <w:rsid w:val="002623DE"/>
    <w:pPr>
      <w:numPr>
        <w:numId w:val="9"/>
      </w:numPr>
      <w:tabs>
        <w:tab w:val="clear" w:pos="1060"/>
      </w:tabs>
    </w:pPr>
  </w:style>
  <w:style w:type="paragraph" w:customStyle="1" w:styleId="MarginNote">
    <w:name w:val="Margin Note"/>
    <w:basedOn w:val="BodyText"/>
    <w:rsid w:val="00262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3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23DE"/>
    <w:rPr>
      <w:sz w:val="32"/>
    </w:rPr>
  </w:style>
  <w:style w:type="paragraph" w:customStyle="1" w:styleId="HeadingProcedure">
    <w:name w:val="Heading Procedure"/>
    <w:basedOn w:val="HeadingBase"/>
    <w:next w:val="Normal"/>
    <w:rsid w:val="002623DE"/>
    <w:pPr>
      <w:tabs>
        <w:tab w:val="left" w:pos="0"/>
      </w:tabs>
      <w:spacing w:before="120" w:after="60"/>
    </w:pPr>
    <w:rPr>
      <w:i/>
      <w:color w:val="918585"/>
      <w:sz w:val="22"/>
    </w:rPr>
  </w:style>
  <w:style w:type="paragraph" w:customStyle="1" w:styleId="TableBodyText">
    <w:name w:val="Table Body Text"/>
    <w:basedOn w:val="BodyText"/>
    <w:rsid w:val="002623DE"/>
    <w:pPr>
      <w:spacing w:before="60" w:after="60"/>
    </w:pPr>
  </w:style>
  <w:style w:type="paragraph" w:styleId="ListContinue">
    <w:name w:val="List Continue"/>
    <w:basedOn w:val="List"/>
    <w:rsid w:val="002623DE"/>
    <w:pPr>
      <w:ind w:firstLine="0"/>
    </w:pPr>
  </w:style>
  <w:style w:type="paragraph" w:customStyle="1" w:styleId="ListNote">
    <w:name w:val="List Note"/>
    <w:basedOn w:val="List"/>
    <w:rsid w:val="002623DE"/>
    <w:pPr>
      <w:pBdr>
        <w:top w:val="single" w:sz="6" w:space="2" w:color="918585"/>
        <w:bottom w:val="single" w:sz="6" w:space="2" w:color="918585"/>
      </w:pBdr>
      <w:tabs>
        <w:tab w:val="left" w:pos="1021"/>
      </w:tabs>
      <w:ind w:firstLine="0"/>
    </w:pPr>
  </w:style>
  <w:style w:type="paragraph" w:customStyle="1" w:styleId="Warning">
    <w:name w:val="Warning"/>
    <w:basedOn w:val="BodyText"/>
    <w:rsid w:val="002623DE"/>
    <w:pPr>
      <w:shd w:val="clear" w:color="auto" w:fill="D9D9D9"/>
      <w:tabs>
        <w:tab w:val="left" w:pos="992"/>
      </w:tabs>
      <w:ind w:left="119" w:right="119"/>
    </w:pPr>
    <w:rPr>
      <w:sz w:val="20"/>
    </w:rPr>
  </w:style>
  <w:style w:type="paragraph" w:customStyle="1" w:styleId="MarginIcons">
    <w:name w:val="Margin Icons"/>
    <w:basedOn w:val="BodyText"/>
    <w:rsid w:val="00262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3DE"/>
    <w:rPr>
      <w:rFonts w:ascii="Courier New" w:hAnsi="Courier New"/>
    </w:rPr>
  </w:style>
  <w:style w:type="paragraph" w:customStyle="1" w:styleId="NoteBullet">
    <w:name w:val="Note Bullet"/>
    <w:basedOn w:val="Note"/>
    <w:rsid w:val="002623DE"/>
    <w:pPr>
      <w:tabs>
        <w:tab w:val="clear" w:pos="680"/>
      </w:tabs>
      <w:spacing w:before="60" w:after="60"/>
    </w:pPr>
  </w:style>
  <w:style w:type="paragraph" w:customStyle="1" w:styleId="SubHeading2">
    <w:name w:val="SubHeading2"/>
    <w:basedOn w:val="HeadingBase"/>
    <w:rsid w:val="002623DE"/>
    <w:pPr>
      <w:spacing w:before="240" w:after="60"/>
    </w:pPr>
    <w:rPr>
      <w:sz w:val="20"/>
    </w:rPr>
  </w:style>
  <w:style w:type="paragraph" w:customStyle="1" w:styleId="SubHeading1">
    <w:name w:val="SubHeading1"/>
    <w:basedOn w:val="HeadingBase"/>
    <w:rsid w:val="002623DE"/>
    <w:pPr>
      <w:spacing w:before="240" w:after="60"/>
    </w:pPr>
    <w:rPr>
      <w:color w:val="918585"/>
      <w:sz w:val="22"/>
    </w:rPr>
  </w:style>
  <w:style w:type="paragraph" w:customStyle="1" w:styleId="SideHeading">
    <w:name w:val="Side Heading"/>
    <w:basedOn w:val="HeadingBase"/>
    <w:rsid w:val="00262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3DE"/>
    <w:pPr>
      <w:tabs>
        <w:tab w:val="num" w:pos="360"/>
      </w:tabs>
    </w:pPr>
  </w:style>
  <w:style w:type="paragraph" w:styleId="PlainText">
    <w:name w:val="Plain Text"/>
    <w:basedOn w:val="Normal"/>
    <w:link w:val="PlainTextChar"/>
    <w:rsid w:val="002623DE"/>
    <w:rPr>
      <w:sz w:val="20"/>
    </w:rPr>
  </w:style>
  <w:style w:type="character" w:customStyle="1" w:styleId="PlainTextChar">
    <w:name w:val="Plain Text Char"/>
    <w:basedOn w:val="DefaultParagraphFont"/>
    <w:link w:val="PlainText"/>
    <w:rsid w:val="002623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23DE"/>
    <w:rPr>
      <w:b/>
      <w:smallCaps/>
    </w:rPr>
  </w:style>
  <w:style w:type="paragraph" w:customStyle="1" w:styleId="TableListNumber">
    <w:name w:val="Table List Number"/>
    <w:basedOn w:val="ListNumber"/>
    <w:rsid w:val="002623DE"/>
    <w:pPr>
      <w:numPr>
        <w:numId w:val="0"/>
      </w:numPr>
    </w:pPr>
  </w:style>
  <w:style w:type="paragraph" w:styleId="TOC4">
    <w:name w:val="toc 4"/>
    <w:basedOn w:val="TOCBase"/>
    <w:next w:val="Normal"/>
    <w:semiHidden/>
    <w:rsid w:val="002623DE"/>
    <w:pPr>
      <w:tabs>
        <w:tab w:val="right" w:leader="dot" w:pos="9071"/>
      </w:tabs>
      <w:ind w:left="1701"/>
    </w:pPr>
  </w:style>
  <w:style w:type="paragraph" w:customStyle="1" w:styleId="ListAlpha">
    <w:name w:val="List Alpha"/>
    <w:basedOn w:val="List"/>
    <w:rsid w:val="002623DE"/>
    <w:pPr>
      <w:numPr>
        <w:numId w:val="8"/>
      </w:numPr>
    </w:pPr>
  </w:style>
  <w:style w:type="paragraph" w:customStyle="1" w:styleId="ListAlpha2">
    <w:name w:val="List Alpha 2"/>
    <w:basedOn w:val="List2"/>
    <w:rsid w:val="002623DE"/>
    <w:pPr>
      <w:numPr>
        <w:numId w:val="7"/>
      </w:numPr>
    </w:pPr>
  </w:style>
  <w:style w:type="paragraph" w:styleId="List3">
    <w:name w:val="List 3"/>
    <w:basedOn w:val="BodyText"/>
    <w:rsid w:val="002623DE"/>
    <w:pPr>
      <w:tabs>
        <w:tab w:val="left" w:pos="1021"/>
      </w:tabs>
      <w:spacing w:before="60" w:after="60"/>
      <w:ind w:left="1020" w:hanging="340"/>
    </w:pPr>
  </w:style>
  <w:style w:type="paragraph" w:styleId="List4">
    <w:name w:val="List 4"/>
    <w:basedOn w:val="BodyText"/>
    <w:rsid w:val="002623DE"/>
    <w:pPr>
      <w:tabs>
        <w:tab w:val="left" w:pos="1361"/>
      </w:tabs>
      <w:spacing w:before="60" w:after="60"/>
      <w:ind w:left="1361" w:hanging="340"/>
    </w:pPr>
  </w:style>
  <w:style w:type="paragraph" w:styleId="List5">
    <w:name w:val="List 5"/>
    <w:basedOn w:val="BodyText"/>
    <w:rsid w:val="002623DE"/>
    <w:pPr>
      <w:tabs>
        <w:tab w:val="left" w:pos="1701"/>
      </w:tabs>
      <w:spacing w:before="60" w:after="60"/>
      <w:ind w:left="1701" w:hanging="340"/>
    </w:pPr>
  </w:style>
  <w:style w:type="paragraph" w:styleId="ListBullet3">
    <w:name w:val="List Bullet 3"/>
    <w:basedOn w:val="List3"/>
    <w:rsid w:val="002623DE"/>
    <w:pPr>
      <w:numPr>
        <w:numId w:val="14"/>
      </w:numPr>
      <w:tabs>
        <w:tab w:val="clear" w:pos="1021"/>
      </w:tabs>
      <w:ind w:left="1037" w:hanging="357"/>
    </w:pPr>
  </w:style>
  <w:style w:type="paragraph" w:styleId="ListBullet4">
    <w:name w:val="List Bullet 4"/>
    <w:basedOn w:val="List4"/>
    <w:rsid w:val="002623DE"/>
    <w:pPr>
      <w:numPr>
        <w:numId w:val="2"/>
      </w:numPr>
    </w:pPr>
  </w:style>
  <w:style w:type="paragraph" w:styleId="ListBullet5">
    <w:name w:val="List Bullet 5"/>
    <w:basedOn w:val="List5"/>
    <w:rsid w:val="002623DE"/>
    <w:pPr>
      <w:numPr>
        <w:numId w:val="3"/>
      </w:numPr>
    </w:pPr>
  </w:style>
  <w:style w:type="paragraph" w:styleId="ListContinue2">
    <w:name w:val="List Continue 2"/>
    <w:basedOn w:val="List2"/>
    <w:rsid w:val="002623DE"/>
    <w:pPr>
      <w:ind w:firstLine="0"/>
    </w:pPr>
  </w:style>
  <w:style w:type="paragraph" w:styleId="ListContinue3">
    <w:name w:val="List Continue 3"/>
    <w:basedOn w:val="List3"/>
    <w:rsid w:val="002623DE"/>
    <w:pPr>
      <w:ind w:left="1021" w:firstLine="0"/>
    </w:pPr>
  </w:style>
  <w:style w:type="paragraph" w:styleId="ListContinue4">
    <w:name w:val="List Continue 4"/>
    <w:basedOn w:val="List4"/>
    <w:rsid w:val="002623DE"/>
    <w:pPr>
      <w:ind w:firstLine="0"/>
    </w:pPr>
  </w:style>
  <w:style w:type="paragraph" w:styleId="ListContinue5">
    <w:name w:val="List Continue 5"/>
    <w:basedOn w:val="List5"/>
    <w:rsid w:val="002623DE"/>
    <w:pPr>
      <w:ind w:firstLine="0"/>
    </w:pPr>
  </w:style>
  <w:style w:type="paragraph" w:styleId="ListNumber3">
    <w:name w:val="List Number 3"/>
    <w:basedOn w:val="List3"/>
    <w:rsid w:val="002623DE"/>
    <w:pPr>
      <w:numPr>
        <w:numId w:val="4"/>
      </w:numPr>
    </w:pPr>
  </w:style>
  <w:style w:type="paragraph" w:styleId="ListNumber4">
    <w:name w:val="List Number 4"/>
    <w:basedOn w:val="List4"/>
    <w:rsid w:val="002623DE"/>
    <w:pPr>
      <w:numPr>
        <w:numId w:val="5"/>
      </w:numPr>
    </w:pPr>
  </w:style>
  <w:style w:type="paragraph" w:styleId="ListNumber5">
    <w:name w:val="List Number 5"/>
    <w:basedOn w:val="List5"/>
    <w:rsid w:val="002623DE"/>
    <w:pPr>
      <w:numPr>
        <w:numId w:val="6"/>
      </w:numPr>
    </w:pPr>
  </w:style>
  <w:style w:type="paragraph" w:styleId="BlockText">
    <w:name w:val="Block Text"/>
    <w:basedOn w:val="Normal"/>
    <w:rsid w:val="002623DE"/>
    <w:pPr>
      <w:spacing w:after="120"/>
      <w:ind w:left="1440" w:right="1440"/>
    </w:pPr>
  </w:style>
  <w:style w:type="character" w:customStyle="1" w:styleId="Subscript">
    <w:name w:val="Subscript"/>
    <w:basedOn w:val="DefaultParagraphFont"/>
    <w:rsid w:val="002623DE"/>
    <w:rPr>
      <w:sz w:val="16"/>
      <w:vertAlign w:val="subscript"/>
    </w:rPr>
  </w:style>
  <w:style w:type="character" w:customStyle="1" w:styleId="Superscript">
    <w:name w:val="Superscript"/>
    <w:basedOn w:val="DefaultParagraphFont"/>
    <w:rsid w:val="002623DE"/>
    <w:rPr>
      <w:sz w:val="16"/>
      <w:vertAlign w:val="superscript"/>
    </w:rPr>
  </w:style>
  <w:style w:type="character" w:customStyle="1" w:styleId="Symbols">
    <w:name w:val="Symbols"/>
    <w:basedOn w:val="DefaultParagraphFont"/>
    <w:rsid w:val="002623DE"/>
    <w:rPr>
      <w:rFonts w:ascii="Symbol" w:hAnsi="Symbol"/>
    </w:rPr>
  </w:style>
  <w:style w:type="character" w:customStyle="1" w:styleId="MenuOptions">
    <w:name w:val="Menu Options"/>
    <w:basedOn w:val="DefaultParagraphFont"/>
    <w:rsid w:val="002623DE"/>
    <w:rPr>
      <w:rFonts w:ascii="Arial Narrow" w:hAnsi="Arial Narrow"/>
      <w:smallCaps/>
    </w:rPr>
  </w:style>
  <w:style w:type="character" w:customStyle="1" w:styleId="Buttons">
    <w:name w:val="Buttons"/>
    <w:basedOn w:val="DefaultParagraphFont"/>
    <w:rsid w:val="002623DE"/>
    <w:rPr>
      <w:b/>
    </w:rPr>
  </w:style>
  <w:style w:type="character" w:customStyle="1" w:styleId="Underlined">
    <w:name w:val="Underlined"/>
    <w:basedOn w:val="DefaultParagraphFont"/>
    <w:rsid w:val="002623DE"/>
    <w:rPr>
      <w:u w:val="single"/>
    </w:rPr>
  </w:style>
  <w:style w:type="paragraph" w:customStyle="1" w:styleId="TableBodyTextRight">
    <w:name w:val="Table Body Text Right"/>
    <w:basedOn w:val="TableBodyText"/>
    <w:rsid w:val="002623DE"/>
    <w:pPr>
      <w:widowControl w:val="0"/>
      <w:autoSpaceDE w:val="0"/>
      <w:autoSpaceDN w:val="0"/>
      <w:adjustRightInd w:val="0"/>
      <w:jc w:val="right"/>
    </w:pPr>
    <w:rPr>
      <w:rFonts w:cs="Arial"/>
      <w:szCs w:val="18"/>
    </w:rPr>
  </w:style>
  <w:style w:type="paragraph" w:customStyle="1" w:styleId="CopyrightText">
    <w:name w:val="Copyright Text"/>
    <w:basedOn w:val="BodyText"/>
    <w:rsid w:val="002623DE"/>
    <w:rPr>
      <w:sz w:val="18"/>
    </w:rPr>
  </w:style>
  <w:style w:type="paragraph" w:customStyle="1" w:styleId="BodySmallRight">
    <w:name w:val="Body Small Right"/>
    <w:basedOn w:val="BodyTextRight"/>
    <w:rsid w:val="002623DE"/>
    <w:rPr>
      <w:sz w:val="18"/>
      <w:szCs w:val="18"/>
    </w:rPr>
  </w:style>
  <w:style w:type="paragraph" w:customStyle="1" w:styleId="MarginEdition">
    <w:name w:val="Margin Edition"/>
    <w:basedOn w:val="MarginNote"/>
    <w:rsid w:val="002623DE"/>
    <w:pPr>
      <w:spacing w:before="0" w:after="0"/>
    </w:pPr>
    <w:rPr>
      <w:rFonts w:ascii="Times New Roman" w:hAnsi="Times New Roman"/>
      <w:color w:val="999999"/>
    </w:rPr>
  </w:style>
  <w:style w:type="paragraph" w:customStyle="1" w:styleId="Spacer">
    <w:name w:val="Spacer"/>
    <w:basedOn w:val="Normal"/>
    <w:rsid w:val="002623DE"/>
    <w:rPr>
      <w:sz w:val="2"/>
      <w:szCs w:val="2"/>
    </w:rPr>
  </w:style>
  <w:style w:type="character" w:customStyle="1" w:styleId="Small">
    <w:name w:val="Small"/>
    <w:basedOn w:val="DefaultParagraphFont"/>
    <w:rsid w:val="002623DE"/>
    <w:rPr>
      <w:sz w:val="16"/>
    </w:rPr>
  </w:style>
  <w:style w:type="paragraph" w:customStyle="1" w:styleId="WideTable">
    <w:name w:val="Wide Table"/>
    <w:basedOn w:val="Normal"/>
    <w:rsid w:val="002623DE"/>
    <w:pPr>
      <w:ind w:left="-1418"/>
    </w:pPr>
    <w:rPr>
      <w:sz w:val="2"/>
      <w:szCs w:val="2"/>
    </w:rPr>
  </w:style>
  <w:style w:type="character" w:styleId="PageNumber">
    <w:name w:val="page number"/>
    <w:basedOn w:val="DefaultParagraphFont"/>
    <w:rsid w:val="002623DE"/>
  </w:style>
  <w:style w:type="paragraph" w:styleId="Quote">
    <w:name w:val="Quote"/>
    <w:basedOn w:val="Heading1"/>
    <w:link w:val="QuoteChar"/>
    <w:qFormat/>
    <w:rsid w:val="002623DE"/>
    <w:rPr>
      <w:b w:val="0"/>
      <w:sz w:val="72"/>
      <w:szCs w:val="72"/>
      <w:lang w:val="en-NZ"/>
    </w:rPr>
  </w:style>
  <w:style w:type="character" w:customStyle="1" w:styleId="QuoteChar">
    <w:name w:val="Quote Char"/>
    <w:basedOn w:val="DefaultParagraphFont"/>
    <w:link w:val="Quote"/>
    <w:rsid w:val="00262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3DE"/>
    <w:pPr>
      <w:pageBreakBefore/>
    </w:pPr>
  </w:style>
  <w:style w:type="paragraph" w:customStyle="1" w:styleId="Border">
    <w:name w:val="Border"/>
    <w:basedOn w:val="Normal"/>
    <w:qFormat/>
    <w:rsid w:val="00262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3DE"/>
    <w:rPr>
      <w:b/>
      <w:bCs/>
      <w:i/>
      <w:iCs/>
      <w:color w:val="auto"/>
    </w:rPr>
  </w:style>
  <w:style w:type="paragraph" w:styleId="IntenseQuote">
    <w:name w:val="Intense Quote"/>
    <w:basedOn w:val="Normal"/>
    <w:next w:val="Normal"/>
    <w:link w:val="IntenseQuoteChar"/>
    <w:uiPriority w:val="30"/>
    <w:qFormat/>
    <w:rsid w:val="00262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3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23DE"/>
    <w:rPr>
      <w:smallCaps/>
      <w:color w:val="auto"/>
      <w:u w:val="single"/>
    </w:rPr>
  </w:style>
  <w:style w:type="character" w:styleId="IntenseReference">
    <w:name w:val="Intense Reference"/>
    <w:basedOn w:val="DefaultParagraphFont"/>
    <w:uiPriority w:val="32"/>
    <w:qFormat/>
    <w:rsid w:val="002623DE"/>
    <w:rPr>
      <w:b/>
      <w:bCs/>
      <w:smallCaps/>
      <w:color w:val="auto"/>
      <w:spacing w:val="5"/>
      <w:u w:val="single"/>
    </w:rPr>
  </w:style>
  <w:style w:type="paragraph" w:customStyle="1" w:styleId="2ColumnHeading">
    <w:name w:val="2Column Heading"/>
    <w:basedOn w:val="BodyText"/>
    <w:qFormat/>
    <w:rsid w:val="002623DE"/>
    <w:pPr>
      <w:spacing w:after="60"/>
      <w:ind w:left="-2268"/>
    </w:pPr>
    <w:rPr>
      <w:b/>
    </w:rPr>
  </w:style>
  <w:style w:type="paragraph" w:customStyle="1" w:styleId="Heading1TOC">
    <w:name w:val="Heading1 TOC"/>
    <w:basedOn w:val="Normal"/>
    <w:qFormat/>
    <w:rsid w:val="002623DE"/>
    <w:pPr>
      <w:spacing w:before="240" w:after="120"/>
    </w:pPr>
    <w:rPr>
      <w:rFonts w:ascii="Times New Roman" w:hAnsi="Times New Roman"/>
      <w:b/>
      <w:sz w:val="32"/>
    </w:rPr>
  </w:style>
  <w:style w:type="paragraph" w:customStyle="1" w:styleId="Heading2TOC">
    <w:name w:val="Heading2 TOC"/>
    <w:basedOn w:val="Normal"/>
    <w:qFormat/>
    <w:rsid w:val="002623DE"/>
    <w:pPr>
      <w:spacing w:before="240" w:after="60"/>
    </w:pPr>
    <w:rPr>
      <w:rFonts w:ascii="Times New Roman" w:hAnsi="Times New Roman"/>
      <w:b/>
      <w:sz w:val="28"/>
    </w:rPr>
  </w:style>
  <w:style w:type="character" w:customStyle="1" w:styleId="Underline">
    <w:name w:val="Underline"/>
    <w:basedOn w:val="DefaultParagraphFont"/>
    <w:qFormat/>
    <w:rsid w:val="002623DE"/>
    <w:rPr>
      <w:u w:val="single"/>
    </w:rPr>
  </w:style>
  <w:style w:type="paragraph" w:styleId="BalloonText">
    <w:name w:val="Balloon Text"/>
    <w:basedOn w:val="Normal"/>
    <w:link w:val="BalloonTextChar"/>
    <w:rsid w:val="002623DE"/>
    <w:rPr>
      <w:rFonts w:ascii="Tahoma" w:hAnsi="Tahoma" w:cs="Tahoma"/>
      <w:sz w:val="16"/>
      <w:szCs w:val="16"/>
    </w:rPr>
  </w:style>
  <w:style w:type="character" w:customStyle="1" w:styleId="BalloonTextChar">
    <w:name w:val="Balloon Text Char"/>
    <w:basedOn w:val="DefaultParagraphFont"/>
    <w:link w:val="BalloonText"/>
    <w:rsid w:val="002623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23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3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968</Words>
  <Characters>6232</Characters>
  <Application>Microsoft Office Word</Application>
  <DocSecurity>0</DocSecurity>
  <Lines>250</Lines>
  <Paragraphs>132</Paragraphs>
  <ScaleCrop>false</ScaleCrop>
  <Company>Author-it Software Corporation Ltd.</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PUADEFEO501D Conduct explosive ordnance inspection</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2012-05-26T04:18:00Z</dcterms:created>
  <dcterms:modified xsi:type="dcterms:W3CDTF">2012-05-26T04:18:00Z</dcterms:modified>
</cp:coreProperties>
</file>