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01E" w:rsidP="003800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PUADEFEO401D Load and unload platforms</w:t>
      </w:r>
      <w:r>
        <w:fldChar w:fldCharType="end"/>
      </w:r>
    </w:p>
    <w:p w:rsidR="0038001E" w:rsidP="0038001E">
      <w:pPr>
        <w:pStyle w:val="Version"/>
        <w:sectPr w:rsidSect="00A522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522C6" w:rsidP="00A522C6">
      <w:pPr>
        <w:pStyle w:val="SuperHeading"/>
      </w:pPr>
      <w:r w:rsidRPr="00A522C6">
        <w:t>PUADEFEO401D Load and unload platforms</w:t>
      </w:r>
    </w:p>
    <w:p w:rsidR="00000000" w:rsidRPr="00A522C6" w:rsidP="00A522C6">
      <w:pPr>
        <w:pStyle w:val="SuperHeading"/>
      </w:pPr>
    </w:p>
    <w:p w:rsidR="00000000" w:rsidRPr="00A522C6" w:rsidP="00A522C6">
      <w:pPr>
        <w:pStyle w:val="Heading1"/>
      </w:pPr>
      <w:bookmarkStart w:id="1" w:name="O_120963"/>
      <w:bookmarkEnd w:id="1"/>
      <w:r w:rsidRPr="00A522C6">
        <w:t>Modification History</w:t>
      </w:r>
    </w:p>
    <w:p w:rsidR="00000000" w:rsidRPr="00A522C6" w:rsidP="00A522C6">
      <w:pPr>
        <w:pStyle w:val="BodyText"/>
      </w:pPr>
      <w:r w:rsidRPr="00A522C6">
        <w:t>Not applicable.</w:t>
      </w:r>
    </w:p>
    <w:p w:rsidR="00000000" w:rsidRPr="00A522C6" w:rsidP="00A522C6">
      <w:pPr>
        <w:pStyle w:val="AllowPageBreak"/>
      </w:pPr>
    </w:p>
    <w:p w:rsidR="00000000" w:rsidRPr="00A522C6" w:rsidP="00A522C6">
      <w:pPr>
        <w:pStyle w:val="Heading1"/>
      </w:pPr>
      <w:bookmarkStart w:id="2" w:name="O_120964"/>
      <w:bookmarkEnd w:id="2"/>
      <w:r w:rsidRPr="00A522C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2C6" w:rsidP="00A522C6">
            <w:pPr>
              <w:pStyle w:val="BodyText"/>
            </w:pPr>
            <w:r w:rsidRPr="00A522C6">
              <w:t>This unit covers the competency required to load and unload explosive ordnance to and from sea, land and air m</w:t>
            </w:r>
            <w:r w:rsidRPr="00A522C6">
              <w:t>ilitary platforms.</w:t>
            </w:r>
          </w:p>
        </w:tc>
      </w:tr>
    </w:tbl>
    <w:p w:rsidR="00000000" w:rsidRPr="00A522C6" w:rsidP="00A522C6">
      <w:pPr>
        <w:pStyle w:val="BodyText"/>
      </w:pPr>
    </w:p>
    <w:p w:rsidR="00000000" w:rsidRPr="00A522C6" w:rsidP="00A522C6">
      <w:pPr>
        <w:pStyle w:val="AllowPageBreak"/>
      </w:pPr>
    </w:p>
    <w:p w:rsidR="00000000" w:rsidRPr="00A522C6" w:rsidP="00A522C6">
      <w:pPr>
        <w:pStyle w:val="Heading1"/>
      </w:pPr>
      <w:bookmarkStart w:id="3" w:name="O_120965"/>
      <w:bookmarkEnd w:id="3"/>
      <w:r w:rsidRPr="00A522C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2C6" w:rsidP="00A522C6">
            <w:pPr>
              <w:pStyle w:val="BodyText"/>
            </w:pPr>
            <w:r w:rsidRPr="00A522C6">
              <w:t xml:space="preserve">This competency normally applies to the individual who is required to load and unload explosive ordnance to and from sea, land and air military </w:t>
            </w:r>
            <w:r w:rsidRPr="00A522C6">
              <w:t>platforms, which include all military operational sea, land and air systems/equipments where the explosive ordnance is designed to be used by the system/equipment in support of its offensive or defensive characteristics/capabilities.</w:t>
            </w:r>
          </w:p>
          <w:p w:rsidR="00000000" w:rsidRPr="00A522C6" w:rsidP="00A522C6">
            <w:pPr>
              <w:pStyle w:val="BodyText"/>
            </w:pPr>
            <w:r w:rsidRPr="00A522C6">
              <w:t>The loading and unload</w:t>
            </w:r>
            <w:r w:rsidRPr="00A522C6">
              <w:t>ing of platforms would normally be conducted as a member of a team, but may be undertaken in isolation.</w:t>
            </w:r>
          </w:p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t>This unit does not address the administrative movement of explosive ordnance or the arming of the explosive ordnance.</w:t>
            </w: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2C6" w:rsidP="00A522C6">
            <w:pPr>
              <w:pStyle w:val="BodyText"/>
            </w:pPr>
          </w:p>
        </w:tc>
      </w:tr>
    </w:tbl>
    <w:p w:rsidR="00000000" w:rsidRPr="00A522C6" w:rsidP="00A522C6">
      <w:pPr>
        <w:pStyle w:val="BodyText"/>
      </w:pPr>
    </w:p>
    <w:p w:rsidR="00000000" w:rsidRPr="00A522C6" w:rsidP="00A522C6">
      <w:pPr>
        <w:pStyle w:val="AllowPageBreak"/>
      </w:pPr>
    </w:p>
    <w:p w:rsidR="00000000" w:rsidRPr="00A522C6" w:rsidP="00A522C6">
      <w:pPr>
        <w:pStyle w:val="Heading1"/>
      </w:pPr>
      <w:bookmarkStart w:id="4" w:name="O_120966"/>
      <w:bookmarkEnd w:id="4"/>
      <w:r w:rsidRPr="00A522C6">
        <w:t>Licensing/Re</w:t>
      </w:r>
      <w:r w:rsidRPr="00A522C6">
        <w:t>gulatory Information</w:t>
      </w:r>
    </w:p>
    <w:p w:rsidR="00000000" w:rsidRPr="00A522C6" w:rsidP="00A522C6">
      <w:pPr>
        <w:pStyle w:val="BodyText"/>
      </w:pPr>
      <w:r w:rsidRPr="00A522C6">
        <w:t>Not applicable.</w:t>
      </w:r>
    </w:p>
    <w:p w:rsidR="00000000" w:rsidRPr="00A522C6" w:rsidP="00A522C6">
      <w:pPr>
        <w:pStyle w:val="AllowPageBreak"/>
      </w:pPr>
    </w:p>
    <w:p w:rsidR="00000000" w:rsidRPr="00A522C6" w:rsidP="00A522C6">
      <w:pPr>
        <w:pStyle w:val="Heading1"/>
      </w:pPr>
      <w:bookmarkStart w:id="5" w:name="O_120968"/>
      <w:bookmarkEnd w:id="5"/>
      <w:r w:rsidRPr="00A522C6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rPr>
                <w:rStyle w:val="SpecialBold"/>
              </w:rPr>
              <w:t>Pre-requisite Unit</w:t>
            </w:r>
            <w:r w:rsidRPr="00A522C6">
              <w:t>/</w:t>
            </w:r>
            <w:r w:rsidRPr="00A522C6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2C6" w:rsidP="00A522C6">
            <w:pPr>
              <w:pStyle w:val="BodyText"/>
            </w:pPr>
            <w:r w:rsidRPr="00A522C6">
              <w:t>Nil</w:t>
            </w:r>
          </w:p>
        </w:tc>
      </w:tr>
    </w:tbl>
    <w:p w:rsidR="00000000" w:rsidRPr="00A522C6" w:rsidP="00A522C6">
      <w:pPr>
        <w:pStyle w:val="BodyText"/>
      </w:pPr>
    </w:p>
    <w:p w:rsidR="00000000" w:rsidRPr="00A522C6" w:rsidP="00A522C6">
      <w:pPr>
        <w:pStyle w:val="AllowPageBreak"/>
      </w:pPr>
    </w:p>
    <w:p w:rsidR="00000000" w:rsidRPr="00A522C6" w:rsidP="00A522C6">
      <w:pPr>
        <w:pStyle w:val="Heading1"/>
      </w:pPr>
      <w:bookmarkStart w:id="6" w:name="O_120967"/>
      <w:bookmarkEnd w:id="6"/>
      <w:r w:rsidRPr="00A522C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2C6" w:rsidP="00A522C6">
            <w:pPr>
              <w:pStyle w:val="BodyText"/>
            </w:pPr>
            <w:r w:rsidRPr="00A522C6">
              <w:t>This unit contains employability skills.</w:t>
            </w:r>
          </w:p>
        </w:tc>
      </w:tr>
    </w:tbl>
    <w:p w:rsidR="00000000" w:rsidRPr="00A522C6" w:rsidP="00A522C6">
      <w:pPr>
        <w:pStyle w:val="BodyText"/>
      </w:pPr>
    </w:p>
    <w:p w:rsidR="00000000" w:rsidRPr="00A522C6" w:rsidP="00A522C6">
      <w:pPr>
        <w:pStyle w:val="AllowPageBreak"/>
      </w:pPr>
    </w:p>
    <w:p w:rsidR="00000000" w:rsidRPr="00A522C6" w:rsidP="00A522C6">
      <w:pPr>
        <w:pStyle w:val="Heading1"/>
      </w:pPr>
      <w:bookmarkStart w:id="7" w:name="O_120969"/>
      <w:bookmarkEnd w:id="7"/>
      <w:r w:rsidRPr="00A522C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2C6" w:rsidP="00A522C6">
            <w:pPr>
              <w:pStyle w:val="BodyText"/>
            </w:pPr>
            <w:r w:rsidRPr="00A522C6">
              <w:t>Performance Criteria describe the required performance needed to demonstrate achievement of the element. Where bold italicised text is used, fur</w:t>
            </w:r>
            <w:r w:rsidRPr="00A522C6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A522C6" w:rsidP="00A522C6">
      <w:pPr>
        <w:pStyle w:val="BodyText"/>
      </w:pPr>
    </w:p>
    <w:p w:rsidR="00000000" w:rsidRPr="00A522C6" w:rsidP="00A522C6">
      <w:pPr>
        <w:pStyle w:val="AllowPageBreak"/>
      </w:pPr>
    </w:p>
    <w:p w:rsidR="00000000" w:rsidRPr="00A522C6" w:rsidP="00A522C6">
      <w:pPr>
        <w:pStyle w:val="Heading1"/>
      </w:pPr>
      <w:bookmarkStart w:id="8" w:name="O_120970"/>
      <w:bookmarkEnd w:id="8"/>
      <w:r w:rsidRPr="00A522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2C6" w:rsidP="00A522C6">
            <w:pPr>
              <w:pStyle w:val="BodyText"/>
            </w:pPr>
            <w:r w:rsidRPr="00A522C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rPr>
                <w:rStyle w:val="SpecialBold"/>
              </w:rPr>
              <w:t>PERFORMANCE CRITERIA</w:t>
            </w: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List"/>
              <w:rPr>
                <w:lang w:val="en-NZ"/>
              </w:rPr>
            </w:pPr>
            <w:r w:rsidRPr="00A522C6">
              <w:t>1.</w:t>
            </w:r>
            <w:r w:rsidRPr="00A522C6">
              <w:tab/>
            </w:r>
            <w:r w:rsidRPr="00A522C6">
              <w:rPr>
                <w:rStyle w:val="SpecialBold"/>
              </w:rPr>
              <w:t>Prepare explosive ordnance for loading</w:t>
            </w:r>
            <w:r w:rsidRPr="00A522C6">
              <w:t>/</w:t>
            </w:r>
            <w:r w:rsidRPr="00A522C6">
              <w:rPr>
                <w:rStyle w:val="SpecialBold"/>
              </w:rPr>
              <w:t>unloading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2C6" w:rsidP="00A522C6">
            <w:pPr>
              <w:pStyle w:val="List2"/>
            </w:pPr>
            <w:r w:rsidRPr="00A522C6">
              <w:t>1.1</w:t>
            </w:r>
            <w:r w:rsidRPr="00A522C6">
              <w:tab/>
            </w:r>
            <w:r w:rsidRPr="00A522C6">
              <w:rPr>
                <w:rStyle w:val="BoldandItalics"/>
              </w:rPr>
              <w:t>Explosive ordnance</w:t>
            </w:r>
            <w:r w:rsidRPr="00A522C6">
              <w:t xml:space="preserve"> is identified and characteristics are taken into consideration in determining appropriate handling, </w:t>
            </w:r>
            <w:r w:rsidRPr="00A522C6">
              <w:rPr>
                <w:rStyle w:val="BoldandItalics"/>
              </w:rPr>
              <w:t>loading</w:t>
            </w:r>
            <w:r w:rsidRPr="00A522C6">
              <w:t>/</w:t>
            </w:r>
            <w:r w:rsidRPr="00A522C6">
              <w:rPr>
                <w:rStyle w:val="BoldandItalics"/>
              </w:rPr>
              <w:t>unloading</w:t>
            </w:r>
            <w:r w:rsidRPr="00A522C6">
              <w:t xml:space="preserve"> and storage requirements and in identifying </w:t>
            </w:r>
            <w:r w:rsidRPr="00A522C6">
              <w:rPr>
                <w:rStyle w:val="BoldandItalics"/>
              </w:rPr>
              <w:t>special to purpose han</w:t>
            </w:r>
            <w:r w:rsidRPr="00A522C6">
              <w:rPr>
                <w:rStyle w:val="BoldandItalics"/>
              </w:rPr>
              <w:t>dling</w:t>
            </w:r>
            <w:r w:rsidRPr="00A522C6">
              <w:t>/</w:t>
            </w:r>
            <w:r w:rsidRPr="00A522C6">
              <w:rPr>
                <w:rStyle w:val="BoldandItalics"/>
              </w:rPr>
              <w:t>transport equipment</w:t>
            </w:r>
            <w:r w:rsidRPr="00A522C6">
              <w:t xml:space="preserve"> and safety/emergency </w:t>
            </w:r>
            <w:r w:rsidRPr="00A522C6">
              <w:rPr>
                <w:rStyle w:val="BoldandItalics"/>
              </w:rPr>
              <w:t>procedures</w:t>
            </w:r>
            <w:r w:rsidRPr="00A522C6">
              <w:t xml:space="preserve"> associated with the task</w:t>
            </w:r>
          </w:p>
          <w:p w:rsidR="00000000" w:rsidRPr="00A522C6" w:rsidP="00A522C6">
            <w:pPr>
              <w:pStyle w:val="List2"/>
            </w:pPr>
            <w:r w:rsidRPr="00A522C6">
              <w:t>1.2</w:t>
            </w:r>
            <w:r w:rsidRPr="00A522C6">
              <w:tab/>
              <w:t>Additional fittings and aids for loading/unloading are identified and their availability and serviceability is ascertained</w:t>
            </w:r>
          </w:p>
          <w:p w:rsidR="00000000" w:rsidRPr="00A522C6" w:rsidP="00A522C6">
            <w:pPr>
              <w:pStyle w:val="List2"/>
            </w:pPr>
            <w:r w:rsidRPr="00A522C6">
              <w:t>1.3</w:t>
            </w:r>
            <w:r w:rsidRPr="00A522C6">
              <w:tab/>
            </w:r>
            <w:r w:rsidRPr="00A522C6">
              <w:rPr>
                <w:rStyle w:val="BoldandItalics"/>
              </w:rPr>
              <w:t>Explosive ordnance is prepared</w:t>
            </w:r>
            <w:r w:rsidRPr="00A522C6">
              <w:t xml:space="preserve"> for loading/unloading in accordance with current instructions/procedures</w:t>
            </w:r>
          </w:p>
          <w:p w:rsidR="00000000" w:rsidP="00A522C6">
            <w:pPr>
              <w:pStyle w:val="List2"/>
              <w:rPr>
                <w:lang w:val="en-NZ"/>
              </w:rPr>
            </w:pPr>
            <w:r w:rsidRPr="00A522C6">
              <w:t>1.4</w:t>
            </w:r>
            <w:r w:rsidRPr="00A522C6">
              <w:tab/>
              <w:t>Lifting/transfer equipment appropriate for the loading/unloading task is identified, prepared and positioned</w:t>
            </w: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List"/>
              <w:rPr>
                <w:lang w:val="en-NZ"/>
              </w:rPr>
            </w:pPr>
            <w:r w:rsidRPr="00A522C6">
              <w:t>2.</w:t>
            </w:r>
            <w:r w:rsidRPr="00A522C6">
              <w:tab/>
            </w:r>
            <w:r w:rsidRPr="00A522C6">
              <w:rPr>
                <w:rStyle w:val="SpecialBold"/>
              </w:rPr>
              <w:t>Load</w:t>
            </w:r>
            <w:r w:rsidRPr="00A522C6">
              <w:t>/</w:t>
            </w:r>
            <w:r w:rsidRPr="00A522C6">
              <w:rPr>
                <w:rStyle w:val="SpecialBold"/>
              </w:rPr>
              <w:t>unload platform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2C6" w:rsidP="00A522C6">
            <w:pPr>
              <w:pStyle w:val="List2"/>
            </w:pPr>
            <w:r w:rsidRPr="00A522C6">
              <w:t>2.1</w:t>
            </w:r>
            <w:r w:rsidRPr="00A522C6">
              <w:tab/>
              <w:t>Explosive ordnance is lifted/moved/re</w:t>
            </w:r>
            <w:r w:rsidRPr="00A522C6">
              <w:t>located in accordance with the instructions/</w:t>
            </w:r>
            <w:r w:rsidRPr="00A522C6">
              <w:rPr>
                <w:rStyle w:val="BoldandItalics"/>
              </w:rPr>
              <w:t>procedures</w:t>
            </w:r>
            <w:r w:rsidRPr="00A522C6">
              <w:t xml:space="preserve"> relating to the item</w:t>
            </w:r>
          </w:p>
          <w:p w:rsidR="00000000" w:rsidRPr="00A522C6" w:rsidP="00A522C6">
            <w:pPr>
              <w:pStyle w:val="List2"/>
            </w:pPr>
            <w:r w:rsidRPr="00A522C6">
              <w:t>2.2</w:t>
            </w:r>
            <w:r w:rsidRPr="00A522C6">
              <w:tab/>
              <w:t>Additional fittings and/or loading aids are positioned and utilised in accordance with current instructions and OH&amp;S requirements</w:t>
            </w:r>
          </w:p>
          <w:p w:rsidR="00000000" w:rsidRPr="00A522C6" w:rsidP="00A522C6">
            <w:pPr>
              <w:pStyle w:val="List2"/>
            </w:pPr>
            <w:r w:rsidRPr="00A522C6">
              <w:t>2.3</w:t>
            </w:r>
            <w:r w:rsidRPr="00A522C6">
              <w:tab/>
              <w:t>Explosive ordnance is positioned in/remove</w:t>
            </w:r>
            <w:r w:rsidRPr="00A522C6">
              <w:t xml:space="preserve">d from the </w:t>
            </w:r>
            <w:r w:rsidRPr="00A522C6">
              <w:rPr>
                <w:rStyle w:val="BoldandItalics"/>
              </w:rPr>
              <w:t>platform</w:t>
            </w:r>
            <w:r w:rsidRPr="00A522C6">
              <w:t xml:space="preserve"> in accordance with current instructions/procedures</w:t>
            </w:r>
          </w:p>
          <w:p w:rsidR="00000000" w:rsidP="00A522C6">
            <w:pPr>
              <w:pStyle w:val="List2"/>
              <w:rPr>
                <w:lang w:val="en-NZ"/>
              </w:rPr>
            </w:pPr>
            <w:r w:rsidRPr="00A522C6">
              <w:t>2.4</w:t>
            </w:r>
            <w:r w:rsidRPr="00A522C6">
              <w:tab/>
              <w:t>Emergency procedures and OH&amp;S requirements pertaining to the item/s are applied throughout the transfer operation</w:t>
            </w: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List"/>
              <w:rPr>
                <w:lang w:val="en-NZ"/>
              </w:rPr>
            </w:pPr>
            <w:r w:rsidRPr="00A522C6">
              <w:t>3.</w:t>
            </w:r>
            <w:r w:rsidRPr="00A522C6">
              <w:tab/>
            </w:r>
            <w:r w:rsidRPr="00A522C6">
              <w:rPr>
                <w:rStyle w:val="SpecialBold"/>
              </w:rPr>
              <w:t>Secure explosive ordnance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2C6" w:rsidP="00A522C6">
            <w:pPr>
              <w:pStyle w:val="List2"/>
            </w:pPr>
            <w:r w:rsidRPr="00A522C6">
              <w:t>3.1</w:t>
            </w:r>
            <w:r w:rsidRPr="00A522C6">
              <w:tab/>
            </w:r>
            <w:r w:rsidRPr="00A522C6">
              <w:t>Explosive ordnance is secured in accordance with current instructions/procedures</w:t>
            </w:r>
          </w:p>
          <w:p w:rsidR="00000000" w:rsidP="00A522C6">
            <w:pPr>
              <w:pStyle w:val="List2"/>
              <w:rPr>
                <w:lang w:val="en-NZ"/>
              </w:rPr>
            </w:pPr>
            <w:r w:rsidRPr="00A522C6">
              <w:t>3.2</w:t>
            </w:r>
            <w:r w:rsidRPr="00A522C6">
              <w:tab/>
              <w:t>Associated documentation is completed in accordance with current instructions/procedures and forwarded to relevant personnel</w:t>
            </w: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2C6" w:rsidP="00A522C6">
            <w:pPr>
              <w:pStyle w:val="BodyText"/>
            </w:pPr>
          </w:p>
        </w:tc>
      </w:tr>
    </w:tbl>
    <w:p w:rsidR="00000000" w:rsidRPr="00A522C6" w:rsidP="00A522C6">
      <w:pPr>
        <w:pStyle w:val="BodyText"/>
      </w:pPr>
    </w:p>
    <w:p w:rsidR="00000000" w:rsidRPr="00A522C6" w:rsidP="00A522C6">
      <w:pPr>
        <w:pStyle w:val="AllowPageBreak"/>
      </w:pPr>
    </w:p>
    <w:p w:rsidR="00000000" w:rsidRPr="00A522C6" w:rsidP="00A522C6">
      <w:pPr>
        <w:pStyle w:val="Heading1"/>
      </w:pPr>
      <w:bookmarkStart w:id="9" w:name="O_120971"/>
      <w:bookmarkEnd w:id="9"/>
      <w:r w:rsidRPr="00A522C6">
        <w:t>Required Skills and Know</w:t>
      </w:r>
      <w:r w:rsidRPr="00A522C6">
        <w:t>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rPr>
                <w:rStyle w:val="SpecialBold"/>
              </w:rPr>
              <w:t>REQUIRED SKILLS AND KNOWLEDGE</w:t>
            </w: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t>This describes the essential skills and knowledge and their level, required for this unit.</w:t>
            </w: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rPr>
                <w:rStyle w:val="SpecialBold"/>
              </w:rPr>
              <w:t>Required Skills</w:t>
            </w: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2C6" w:rsidP="00A522C6">
            <w:pPr>
              <w:pStyle w:val="ListBullet"/>
            </w:pPr>
            <w:r w:rsidRPr="00A522C6">
              <w:t>identify serviceability of safety systems</w:t>
            </w:r>
          </w:p>
          <w:p w:rsidR="00000000" w:rsidRPr="00A522C6" w:rsidP="00A522C6">
            <w:pPr>
              <w:pStyle w:val="ListBullet"/>
            </w:pPr>
            <w:r w:rsidRPr="00A522C6">
              <w:t>prepare and inspect item</w:t>
            </w:r>
            <w:r w:rsidRPr="00A522C6">
              <w:t>s of explosive ordnance for loading/unloading</w:t>
            </w:r>
          </w:p>
          <w:p w:rsidR="00000000" w:rsidRPr="00A522C6" w:rsidP="00A522C6">
            <w:pPr>
              <w:pStyle w:val="ListBullet"/>
            </w:pPr>
            <w:r w:rsidRPr="00A522C6">
              <w:t>safely and efficiently load/unload items of explosive ordnance to/from a platform</w:t>
            </w:r>
          </w:p>
          <w:p w:rsidR="00000000" w:rsidRPr="00A522C6" w:rsidP="00A522C6">
            <w:pPr>
              <w:pStyle w:val="ListBullet"/>
            </w:pPr>
            <w:r w:rsidRPr="00A522C6">
              <w:t>secure and document the loading/unloading of items of explosive ordnance to/from a platform</w:t>
            </w:r>
          </w:p>
          <w:p w:rsidR="00000000" w:rsidP="00A522C6">
            <w:pPr>
              <w:pStyle w:val="ListBullet"/>
              <w:rPr>
                <w:lang w:val="en-NZ"/>
              </w:rPr>
            </w:pPr>
            <w:r w:rsidRPr="00A522C6">
              <w:t>use and apply safety mechanisms such</w:t>
            </w:r>
            <w:r w:rsidRPr="00A522C6">
              <w:t xml:space="preserve"> as locking mechanisms and dead man brakes</w:t>
            </w: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rPr>
                <w:rStyle w:val="SpecialBold"/>
              </w:rPr>
              <w:t>Required Knowledge</w:t>
            </w: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2C6" w:rsidP="00A522C6">
            <w:pPr>
              <w:pStyle w:val="ListBullet"/>
            </w:pPr>
            <w:r w:rsidRPr="00A522C6">
              <w:t>OH&amp;S requirements for the operation including emergency procedures to be implemented</w:t>
            </w:r>
          </w:p>
          <w:p w:rsidR="00000000" w:rsidRPr="00A522C6" w:rsidP="00A522C6">
            <w:pPr>
              <w:pStyle w:val="ListBullet"/>
            </w:pPr>
            <w:r w:rsidRPr="00A522C6">
              <w:t>procedures for loading/unloading a specific item of explosive ordnance to/from a platform</w:t>
            </w:r>
          </w:p>
          <w:p w:rsidR="00000000" w:rsidRPr="00A522C6" w:rsidP="00A522C6">
            <w:pPr>
              <w:pStyle w:val="ListBullet"/>
            </w:pPr>
            <w:r w:rsidRPr="00A522C6">
              <w:t>relevant characteristics and requirements of the explosive ordnance to be loaded/unloaded</w:t>
            </w:r>
          </w:p>
          <w:p w:rsidR="00000000" w:rsidRPr="00A522C6" w:rsidP="00A522C6">
            <w:pPr>
              <w:pStyle w:val="ListBullet"/>
            </w:pPr>
            <w:r w:rsidRPr="00A522C6">
              <w:t>use and application of any special to purpose loading/unloading equipment to be used</w:t>
            </w:r>
          </w:p>
          <w:p w:rsidR="00000000" w:rsidP="00A522C6">
            <w:pPr>
              <w:pStyle w:val="ListBullet"/>
              <w:rPr>
                <w:lang w:val="en-NZ"/>
              </w:rPr>
            </w:pPr>
            <w:r w:rsidRPr="00A522C6">
              <w:t>use and capacity of lifting/transfer equipment</w:t>
            </w: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2C6" w:rsidP="00A522C6">
            <w:pPr>
              <w:pStyle w:val="BodyText"/>
            </w:pPr>
          </w:p>
        </w:tc>
      </w:tr>
    </w:tbl>
    <w:p w:rsidR="00000000" w:rsidRPr="00A522C6" w:rsidP="00A522C6">
      <w:pPr>
        <w:pStyle w:val="BodyText"/>
      </w:pPr>
    </w:p>
    <w:p w:rsidR="00000000" w:rsidRPr="00A522C6" w:rsidP="00A522C6">
      <w:pPr>
        <w:pStyle w:val="AllowPageBreak"/>
      </w:pPr>
    </w:p>
    <w:p w:rsidR="00000000" w:rsidRPr="00A522C6" w:rsidP="00A522C6">
      <w:pPr>
        <w:pStyle w:val="Heading1"/>
      </w:pPr>
      <w:bookmarkStart w:id="10" w:name="O_120972"/>
      <w:bookmarkEnd w:id="10"/>
      <w:r w:rsidRPr="00A522C6">
        <w:t>Evidence Guid</w:t>
      </w:r>
      <w:r w:rsidRPr="00A522C6">
        <w:t>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2C6" w:rsidP="00A522C6">
            <w:pPr>
              <w:pStyle w:val="BodyText"/>
            </w:pPr>
            <w:r w:rsidRPr="00A522C6">
              <w:t>Assessment must confirm the ability to:</w:t>
            </w:r>
          </w:p>
          <w:p w:rsidR="00000000" w:rsidRPr="00A522C6" w:rsidP="00A522C6">
            <w:pPr>
              <w:pStyle w:val="ListBullet"/>
            </w:pPr>
            <w:r w:rsidRPr="00A522C6">
              <w:t>safely and efficiently load and unload items of explosive ordnance to/from a military platform</w:t>
            </w:r>
          </w:p>
          <w:p w:rsidR="00000000" w:rsidRPr="00A522C6" w:rsidP="00A522C6">
            <w:pPr>
              <w:pStyle w:val="ListBullet"/>
            </w:pPr>
            <w:r w:rsidRPr="00A522C6">
              <w:t>safely and effectively use special to purpose loading/unloading and handling equipment associated with the explosive ordnance</w:t>
            </w:r>
          </w:p>
          <w:p w:rsidR="00000000" w:rsidRPr="00A522C6" w:rsidP="00A522C6">
            <w:pPr>
              <w:pStyle w:val="ListBullet"/>
            </w:pPr>
            <w:r w:rsidRPr="00A522C6">
              <w:t>ensure the appropriate preparatory, execution, securing and documentation actions are taken.</w:t>
            </w:r>
          </w:p>
          <w:p w:rsidR="00000000" w:rsidRPr="00A522C6" w:rsidP="00A522C6">
            <w:pPr>
              <w:pStyle w:val="BodyText"/>
            </w:pPr>
            <w:r w:rsidRPr="00A522C6">
              <w:rPr>
                <w:rStyle w:val="SpecialBold"/>
              </w:rPr>
              <w:t>Consistency in performance</w:t>
            </w:r>
          </w:p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t>Competency</w:t>
            </w:r>
            <w:r w:rsidRPr="00A522C6">
              <w:t xml:space="preserve"> should be demonstrated in a range of actual or simulated explosive ordnance contexts over time to ensure that a range of explosive ordnance, handling and transport equipment is being utilised in a variety of situations.</w:t>
            </w: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2C6" w:rsidP="00A522C6">
            <w:pPr>
              <w:pStyle w:val="BodyText"/>
            </w:pPr>
            <w:r w:rsidRPr="00A522C6">
              <w:rPr>
                <w:rStyle w:val="SpecialBold"/>
              </w:rPr>
              <w:t xml:space="preserve">Context of and specific resources </w:t>
            </w:r>
            <w:r w:rsidRPr="00A522C6">
              <w:rPr>
                <w:rStyle w:val="SpecialBold"/>
              </w:rPr>
              <w:t>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2C6" w:rsidP="00A522C6">
            <w:pPr>
              <w:pStyle w:val="BodyText"/>
            </w:pPr>
            <w:r w:rsidRPr="00A522C6">
              <w:rPr>
                <w:rStyle w:val="SpecialBold"/>
              </w:rPr>
              <w:t>Context of assessment</w:t>
            </w:r>
          </w:p>
          <w:p w:rsidR="00000000" w:rsidRPr="00A522C6" w:rsidP="00A522C6">
            <w:pPr>
              <w:pStyle w:val="BodyText"/>
            </w:pPr>
            <w:r w:rsidRPr="00A522C6">
              <w:t>Competency should be assessed in the workplace while loading and unloading a range of explosive ordnance in a fixed installation such as a wharf, transport terminal, airfield area, or at sea or in the field or its close</w:t>
            </w:r>
            <w:r w:rsidRPr="00A522C6">
              <w:t xml:space="preserve"> simulation and in accordance with all relevant legislation and Defence requirements.</w:t>
            </w:r>
          </w:p>
          <w:p w:rsidR="00000000" w:rsidRPr="00A522C6" w:rsidP="00A522C6">
            <w:pPr>
              <w:pStyle w:val="BodyText"/>
            </w:pPr>
            <w:r w:rsidRPr="00A522C6">
              <w:rPr>
                <w:rStyle w:val="SpecialBold"/>
              </w:rPr>
              <w:t>Specific resources for assessment</w:t>
            </w:r>
          </w:p>
          <w:p w:rsidR="00000000" w:rsidRPr="00A522C6" w:rsidP="00A522C6">
            <w:pPr>
              <w:pStyle w:val="BodyText"/>
            </w:pPr>
            <w:r w:rsidRPr="00A522C6">
              <w:t>Access is required to:</w:t>
            </w:r>
          </w:p>
          <w:p w:rsidR="00000000" w:rsidRPr="00A522C6" w:rsidP="00A522C6">
            <w:pPr>
              <w:pStyle w:val="ListBullet"/>
            </w:pPr>
            <w:r w:rsidRPr="00A522C6">
              <w:t>relevant explosive ordnance and weapon systems</w:t>
            </w:r>
          </w:p>
          <w:p w:rsidR="00000000" w:rsidP="00A522C6">
            <w:pPr>
              <w:pStyle w:val="ListBullet"/>
              <w:rPr>
                <w:lang w:val="en-NZ"/>
              </w:rPr>
            </w:pPr>
            <w:r w:rsidRPr="00A522C6">
              <w:t>relevant military platforms.</w:t>
            </w: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rPr>
                <w:rStyle w:val="SpecialBold"/>
              </w:rPr>
              <w:t>Method of assessment</w:t>
            </w:r>
            <w:r w:rsidRPr="00A522C6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2C6" w:rsidP="00A522C6">
            <w:pPr>
              <w:pStyle w:val="BodyText"/>
            </w:pPr>
            <w:r w:rsidRPr="00A522C6">
              <w:t>This unit may be assessed with the following unit:</w:t>
            </w:r>
          </w:p>
          <w:p w:rsidR="00000000" w:rsidRPr="00A522C6" w:rsidP="00A522C6">
            <w:pPr>
              <w:pStyle w:val="ListBullet"/>
            </w:pPr>
            <w:r w:rsidRPr="00A522C6">
              <w:t>PUADEFEO101D Work safely with explosive ordnance.</w:t>
            </w:r>
          </w:p>
          <w:p w:rsidR="00000000" w:rsidRPr="00A522C6" w:rsidP="00A522C6">
            <w:pPr>
              <w:pStyle w:val="BodyText"/>
            </w:pPr>
            <w:r w:rsidRPr="00A522C6">
              <w:t>In a public safety environment assessment is usually conducted via direct observation in a training environment or in the workplace via subject matter sup</w:t>
            </w:r>
            <w:r w:rsidRPr="00A522C6">
              <w:t>ervision and/or mentoring, which is typically recorded in a competency workbook.</w:t>
            </w:r>
          </w:p>
          <w:p w:rsidR="00000000" w:rsidRPr="00A522C6" w:rsidP="00A522C6">
            <w:pPr>
              <w:pStyle w:val="BodyText"/>
            </w:pPr>
            <w:r w:rsidRPr="00A522C6">
              <w:t>Assessment is completed using appropriately qualified assessors who select the most appropriate method of assessment according to the workplace environment.</w:t>
            </w:r>
          </w:p>
          <w:p w:rsidR="00000000" w:rsidRPr="00A522C6" w:rsidP="00A522C6">
            <w:pPr>
              <w:pStyle w:val="BodyText"/>
            </w:pPr>
            <w:r w:rsidRPr="00A522C6">
              <w:t>Assessment may occ</w:t>
            </w:r>
            <w:r w:rsidRPr="00A522C6">
              <w:t>ur in an operational environment or in an industry-approved simulated work environment. Forms of assessment that are typically used include:</w:t>
            </w:r>
          </w:p>
          <w:p w:rsidR="00000000" w:rsidRPr="00A522C6" w:rsidP="00A522C6">
            <w:pPr>
              <w:pStyle w:val="ListBullet"/>
            </w:pPr>
            <w:r w:rsidRPr="00A522C6">
              <w:t>direct observation</w:t>
            </w:r>
          </w:p>
          <w:p w:rsidR="00000000" w:rsidRPr="00A522C6" w:rsidP="00A522C6">
            <w:pPr>
              <w:pStyle w:val="ListBullet"/>
            </w:pPr>
            <w:r w:rsidRPr="00A522C6">
              <w:t>interviewing the candidate</w:t>
            </w:r>
          </w:p>
          <w:p w:rsidR="00000000" w:rsidRPr="00A522C6" w:rsidP="00A522C6">
            <w:pPr>
              <w:pStyle w:val="ListBullet"/>
            </w:pPr>
            <w:r w:rsidRPr="00A522C6">
              <w:t>journals and workplace documentation</w:t>
            </w:r>
          </w:p>
          <w:p w:rsidR="00000000" w:rsidRPr="00A522C6" w:rsidP="00A522C6">
            <w:pPr>
              <w:pStyle w:val="ListBullet"/>
            </w:pPr>
            <w:r w:rsidRPr="00A522C6">
              <w:t>third party reports from superv</w:t>
            </w:r>
            <w:r w:rsidRPr="00A522C6">
              <w:t>isors</w:t>
            </w:r>
          </w:p>
          <w:p w:rsidR="00000000" w:rsidRPr="00A522C6" w:rsidP="00A522C6">
            <w:pPr>
              <w:pStyle w:val="ListBullet"/>
            </w:pPr>
            <w:r w:rsidRPr="00A522C6">
              <w:t>written or oral questions.</w:t>
            </w:r>
          </w:p>
        </w:tc>
      </w:tr>
    </w:tbl>
    <w:p w:rsidR="00000000" w:rsidRPr="00A522C6" w:rsidP="00A522C6">
      <w:pPr>
        <w:pStyle w:val="BodyText"/>
      </w:pPr>
    </w:p>
    <w:p w:rsidR="00000000" w:rsidRPr="00A522C6" w:rsidP="00A522C6">
      <w:pPr>
        <w:pStyle w:val="AllowPageBreak"/>
      </w:pPr>
    </w:p>
    <w:p w:rsidR="00000000" w:rsidRPr="00A522C6" w:rsidP="00A522C6">
      <w:pPr>
        <w:pStyle w:val="Heading1"/>
      </w:pPr>
      <w:bookmarkStart w:id="11" w:name="O_120973"/>
      <w:bookmarkEnd w:id="11"/>
      <w:r w:rsidRPr="00A522C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rPr>
                <w:rStyle w:val="SpecialBold"/>
              </w:rPr>
              <w:t>RANGE STATEMENT</w:t>
            </w: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t xml:space="preserve">The Range Statement relates to the Unit of Competency as a whole. It allows for different work environments and situations that may affect performance. </w:t>
            </w:r>
            <w:r w:rsidRPr="00A522C6">
              <w:rPr>
                <w:rStyle w:val="BoldandItalics"/>
              </w:rPr>
              <w:t>Bold italicised</w:t>
            </w:r>
            <w:r w:rsidRPr="00A522C6">
              <w:t xml:space="preserve"> wording in the Performance Criteria is detailed below.</w:t>
            </w: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rPr>
                <w:rStyle w:val="SpecialBold"/>
              </w:rPr>
              <w:t>Explosive ordnance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2C6" w:rsidP="00A522C6">
            <w:pPr>
              <w:pStyle w:val="BodyText"/>
            </w:pPr>
            <w:r w:rsidRPr="00A522C6">
              <w:t>Bombs</w:t>
            </w:r>
          </w:p>
          <w:p w:rsidR="00000000" w:rsidRPr="00A522C6" w:rsidP="00A522C6">
            <w:pPr>
              <w:pStyle w:val="BodyText"/>
            </w:pPr>
            <w:r w:rsidRPr="00A522C6">
              <w:t xml:space="preserve">Explosives </w:t>
            </w:r>
          </w:p>
          <w:p w:rsidR="00000000" w:rsidRPr="00A522C6" w:rsidP="00A522C6">
            <w:pPr>
              <w:pStyle w:val="BodyText"/>
            </w:pPr>
            <w:r w:rsidRPr="00A522C6">
              <w:t>Grenades and pyrotechnics</w:t>
            </w:r>
          </w:p>
          <w:p w:rsidR="00000000" w:rsidRPr="00A522C6" w:rsidP="00A522C6">
            <w:pPr>
              <w:pStyle w:val="BodyText"/>
            </w:pPr>
            <w:r w:rsidRPr="00A522C6">
              <w:t>Gun ammunition</w:t>
            </w:r>
          </w:p>
          <w:p w:rsidR="00000000" w:rsidRPr="00A522C6" w:rsidP="00A522C6">
            <w:pPr>
              <w:pStyle w:val="BodyText"/>
            </w:pPr>
            <w:r w:rsidRPr="00A522C6">
              <w:t>Missiles</w:t>
            </w:r>
          </w:p>
          <w:p w:rsidR="00000000" w:rsidRPr="00A522C6" w:rsidP="00A522C6">
            <w:pPr>
              <w:pStyle w:val="BodyText"/>
            </w:pPr>
            <w:r w:rsidRPr="00A522C6">
              <w:t>Small arms ammunition</w:t>
            </w:r>
          </w:p>
          <w:p w:rsidR="00000000" w:rsidRPr="00A522C6" w:rsidP="00A522C6">
            <w:pPr>
              <w:pStyle w:val="BodyText"/>
            </w:pPr>
            <w:r w:rsidRPr="00A522C6">
              <w:t>Torpedoes</w:t>
            </w:r>
          </w:p>
          <w:p w:rsidR="00000000" w:rsidRPr="00A522C6" w:rsidP="00A522C6">
            <w:pPr>
              <w:pStyle w:val="BodyText"/>
            </w:pPr>
            <w:r w:rsidRPr="00A522C6">
              <w:t>And may:</w:t>
            </w:r>
          </w:p>
          <w:p w:rsidR="00000000" w:rsidRPr="00A522C6" w:rsidP="00A522C6">
            <w:pPr>
              <w:pStyle w:val="ListBullet"/>
            </w:pPr>
            <w:r w:rsidRPr="00A522C6">
              <w:t xml:space="preserve">be positioned in or removed from special to item storage </w:t>
            </w:r>
            <w:r w:rsidRPr="00A522C6">
              <w:t xml:space="preserve">on the platform </w:t>
            </w:r>
          </w:p>
          <w:p w:rsidR="00000000" w:rsidP="00A522C6">
            <w:pPr>
              <w:pStyle w:val="ListBullet"/>
              <w:rPr>
                <w:lang w:val="en-NZ"/>
              </w:rPr>
            </w:pPr>
            <w:r w:rsidRPr="00A522C6">
              <w:t>have special for purpose loading/unloading fittings or equipment</w:t>
            </w: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rPr>
                <w:rStyle w:val="SpecialBold"/>
              </w:rPr>
              <w:t>Loading</w:t>
            </w:r>
            <w:r w:rsidRPr="00A522C6">
              <w:t>/</w:t>
            </w:r>
            <w:r w:rsidRPr="00A522C6">
              <w:rPr>
                <w:rStyle w:val="SpecialBold"/>
              </w:rPr>
              <w:t>unloading of explosive ordnance to</w:t>
            </w:r>
            <w:r w:rsidRPr="00A522C6">
              <w:t>/</w:t>
            </w:r>
            <w:r w:rsidRPr="00A522C6">
              <w:rPr>
                <w:rStyle w:val="SpecialBold"/>
              </w:rPr>
              <w:t>from platforms includes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t>Fitting/removal of attachments and packaging materials and the securing of the ordnance for the task</w:t>
            </w: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rPr>
                <w:rStyle w:val="SpecialBold"/>
              </w:rPr>
              <w:t>Special to purpose handling</w:t>
            </w:r>
            <w:r w:rsidRPr="00A522C6">
              <w:t>/</w:t>
            </w:r>
            <w:r w:rsidRPr="00A522C6">
              <w:rPr>
                <w:rStyle w:val="SpecialBold"/>
              </w:rPr>
              <w:t>transport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t>Purpose built containers, frames, missile dollies, rails/tracks, cradles, hoists, ramps and/or racks</w:t>
            </w: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rPr>
                <w:rStyle w:val="SpecialBold"/>
              </w:rPr>
              <w:t>Preparing explosive ordnance for loading</w:t>
            </w:r>
            <w:r w:rsidRPr="00A522C6">
              <w:t>/</w:t>
            </w:r>
            <w:r w:rsidRPr="00A522C6">
              <w:rPr>
                <w:rStyle w:val="SpecialBold"/>
              </w:rPr>
              <w:t>unloading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2C6" w:rsidP="00A522C6">
            <w:pPr>
              <w:pStyle w:val="BodyText"/>
            </w:pPr>
            <w:r w:rsidRPr="00A522C6">
              <w:t>Alignment of missile dollies an</w:t>
            </w:r>
            <w:r w:rsidRPr="00A522C6">
              <w:t>d launch systems</w:t>
            </w:r>
          </w:p>
          <w:p w:rsidR="00000000" w:rsidRPr="00A522C6" w:rsidP="00A522C6">
            <w:pPr>
              <w:pStyle w:val="BodyText"/>
            </w:pPr>
            <w:r w:rsidRPr="00A522C6">
              <w:t>Fitting of attachments (such as propulsion units)</w:t>
            </w:r>
          </w:p>
          <w:p w:rsidR="00000000" w:rsidRPr="00A522C6" w:rsidP="00A522C6">
            <w:pPr>
              <w:pStyle w:val="BodyText"/>
            </w:pPr>
            <w:r w:rsidRPr="00A522C6">
              <w:t>Fitting of special to purpose loading/unloading equipment</w:t>
            </w:r>
          </w:p>
          <w:p w:rsidR="00000000" w:rsidRPr="00A522C6" w:rsidP="00A522C6">
            <w:pPr>
              <w:pStyle w:val="BodyText"/>
            </w:pPr>
            <w:r w:rsidRPr="00A522C6">
              <w:t>Fuse adjustment</w:t>
            </w:r>
          </w:p>
          <w:p w:rsidR="00000000" w:rsidRPr="00A522C6" w:rsidP="00A522C6">
            <w:pPr>
              <w:pStyle w:val="BodyText"/>
            </w:pPr>
            <w:r w:rsidRPr="00A522C6">
              <w:t xml:space="preserve">Removal of/provision of packaging materials </w:t>
            </w:r>
          </w:p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t>Securing/restraining item</w:t>
            </w: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rPr>
                <w:rStyle w:val="SpecialBold"/>
              </w:rPr>
              <w:t>Load</w:t>
            </w:r>
            <w:r w:rsidRPr="00A522C6">
              <w:t>/</w:t>
            </w:r>
            <w:r w:rsidRPr="00A522C6">
              <w:rPr>
                <w:rStyle w:val="SpecialBold"/>
              </w:rPr>
              <w:t>unload procedures and equipment may be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t>Trialled prior to the transfer of explosive ordnance using inert items</w:t>
            </w: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rPr>
                <w:rStyle w:val="SpecialBold"/>
              </w:rPr>
              <w:t>Platforms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2C6">
            <w:pPr>
              <w:pStyle w:val="BodyText"/>
              <w:rPr>
                <w:lang w:val="en-NZ"/>
              </w:rPr>
            </w:pPr>
            <w:r w:rsidRPr="00A522C6">
              <w:t>All military operational sea, land and air means of transport, which may be required to carry explosive ordnance; this includes ships, submarines, tanks, gun tra</w:t>
            </w:r>
            <w:r w:rsidRPr="00A522C6">
              <w:t>ctors and transport aircraft, both fixed and rotary winged</w:t>
            </w:r>
          </w:p>
        </w:tc>
      </w:tr>
      <w:tr w:rsidTr="003800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2C6" w:rsidP="00A522C6">
            <w:pPr>
              <w:pStyle w:val="BodyText"/>
            </w:pPr>
          </w:p>
        </w:tc>
      </w:tr>
    </w:tbl>
    <w:p w:rsidR="00000000" w:rsidRPr="00A522C6" w:rsidP="00A522C6">
      <w:pPr>
        <w:pStyle w:val="BodyText"/>
      </w:pPr>
    </w:p>
    <w:p w:rsidR="00000000" w:rsidRPr="00A522C6" w:rsidP="00A522C6">
      <w:pPr>
        <w:pStyle w:val="AllowPageBreak"/>
      </w:pPr>
    </w:p>
    <w:p w:rsidR="00000000" w:rsidRPr="00A522C6" w:rsidP="00A522C6">
      <w:pPr>
        <w:pStyle w:val="Heading1"/>
      </w:pPr>
      <w:bookmarkStart w:id="12" w:name="O_120974"/>
      <w:bookmarkEnd w:id="12"/>
      <w:r w:rsidRPr="00A522C6">
        <w:t>Unit Sector(s)</w:t>
      </w:r>
    </w:p>
    <w:p w:rsidR="00000000" w:rsidRPr="00A522C6" w:rsidP="00A522C6">
      <w:pPr>
        <w:pStyle w:val="BodyText"/>
      </w:pPr>
      <w:r w:rsidRPr="00A522C6">
        <w:t>Not applicable.</w:t>
      </w:r>
    </w:p>
    <w:p w:rsidR="00000000" w:rsidRPr="00A522C6" w:rsidP="00A522C6"/>
    <w:sectPr w:rsidSect="00A522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2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8001E" w:rsidP="003800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2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01E" w:rsidP="00A522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8001E" w:rsidP="00A522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8001E" w:rsidP="00A522C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2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8001E" w:rsidP="0038001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2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01E" w:rsidP="00A522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PUADEFEO401D Load and unload platforms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38001E" w:rsidP="00A522C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7AB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2A4C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2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522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22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22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22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22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22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22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22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22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22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22C6"/>
  </w:style>
  <w:style w:type="character" w:customStyle="1" w:styleId="Heading1Char">
    <w:name w:val="Heading 1 Char"/>
    <w:basedOn w:val="DefaultParagraphFont"/>
    <w:link w:val="Heading1"/>
    <w:rsid w:val="00A522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22C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22C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522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22C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522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22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22C6"/>
    <w:rPr>
      <w:b/>
      <w:spacing w:val="0"/>
    </w:rPr>
  </w:style>
  <w:style w:type="paragraph" w:styleId="Header">
    <w:name w:val="header"/>
    <w:basedOn w:val="Normal"/>
    <w:link w:val="HeaderChar"/>
    <w:rsid w:val="00A522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22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522C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522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522C6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A522C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522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22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22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22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22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22C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522C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522C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522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22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22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22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22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522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22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22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22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22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22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22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22C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22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22C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522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22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22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22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22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22C6"/>
    <w:rPr>
      <w:i/>
    </w:rPr>
  </w:style>
  <w:style w:type="paragraph" w:styleId="Caption">
    <w:name w:val="caption"/>
    <w:basedOn w:val="BodyText"/>
    <w:next w:val="Normal"/>
    <w:qFormat/>
    <w:rsid w:val="00A522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22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22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22C6"/>
  </w:style>
  <w:style w:type="paragraph" w:styleId="TableofFigures">
    <w:name w:val="table of figures"/>
    <w:basedOn w:val="Normal"/>
    <w:next w:val="Normal"/>
    <w:semiHidden/>
    <w:rsid w:val="00A522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22C6"/>
    <w:pPr>
      <w:numPr>
        <w:numId w:val="10"/>
      </w:numPr>
    </w:pPr>
  </w:style>
  <w:style w:type="character" w:customStyle="1" w:styleId="WingdingSymbols">
    <w:name w:val="Wingding Symbols"/>
    <w:rsid w:val="00A522C6"/>
    <w:rPr>
      <w:rFonts w:ascii="Wingdings" w:hAnsi="Wingdings"/>
    </w:rPr>
  </w:style>
  <w:style w:type="paragraph" w:customStyle="1" w:styleId="TableHeading">
    <w:name w:val="Table Heading"/>
    <w:basedOn w:val="HeadingBase"/>
    <w:rsid w:val="00A522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22C6"/>
    <w:rPr>
      <w:color w:val="0033CC"/>
      <w:u w:val="none"/>
    </w:rPr>
  </w:style>
  <w:style w:type="paragraph" w:customStyle="1" w:styleId="BodyTextRight">
    <w:name w:val="Body Text Right"/>
    <w:basedOn w:val="BodyText"/>
    <w:rsid w:val="00A522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22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22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22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22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22C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522C6"/>
    <w:rPr>
      <w:sz w:val="32"/>
    </w:rPr>
  </w:style>
  <w:style w:type="paragraph" w:customStyle="1" w:styleId="HeadingProcedure">
    <w:name w:val="Heading Procedure"/>
    <w:basedOn w:val="HeadingBase"/>
    <w:next w:val="Normal"/>
    <w:rsid w:val="00A522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22C6"/>
    <w:pPr>
      <w:spacing w:before="60" w:after="60"/>
    </w:pPr>
  </w:style>
  <w:style w:type="paragraph" w:styleId="ListContinue">
    <w:name w:val="List Continue"/>
    <w:basedOn w:val="List"/>
    <w:rsid w:val="00A522C6"/>
    <w:pPr>
      <w:ind w:firstLine="0"/>
    </w:pPr>
  </w:style>
  <w:style w:type="paragraph" w:customStyle="1" w:styleId="ListNote">
    <w:name w:val="List Note"/>
    <w:basedOn w:val="List"/>
    <w:rsid w:val="00A522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22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22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22C6"/>
    <w:rPr>
      <w:rFonts w:ascii="Courier New" w:hAnsi="Courier New"/>
    </w:rPr>
  </w:style>
  <w:style w:type="paragraph" w:customStyle="1" w:styleId="NoteBullet">
    <w:name w:val="Note Bullet"/>
    <w:basedOn w:val="Note"/>
    <w:rsid w:val="00A522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22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22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22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22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22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22C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522C6"/>
    <w:rPr>
      <w:b/>
      <w:smallCaps/>
    </w:rPr>
  </w:style>
  <w:style w:type="paragraph" w:customStyle="1" w:styleId="TableListNumber">
    <w:name w:val="Table List Number"/>
    <w:basedOn w:val="ListNumber"/>
    <w:rsid w:val="00A522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22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22C6"/>
    <w:pPr>
      <w:numPr>
        <w:numId w:val="8"/>
      </w:numPr>
    </w:pPr>
  </w:style>
  <w:style w:type="paragraph" w:customStyle="1" w:styleId="ListAlpha2">
    <w:name w:val="List Alpha 2"/>
    <w:basedOn w:val="List2"/>
    <w:rsid w:val="00A522C6"/>
    <w:pPr>
      <w:numPr>
        <w:numId w:val="7"/>
      </w:numPr>
    </w:pPr>
  </w:style>
  <w:style w:type="paragraph" w:styleId="List3">
    <w:name w:val="List 3"/>
    <w:basedOn w:val="BodyText"/>
    <w:rsid w:val="00A522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22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22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22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22C6"/>
    <w:pPr>
      <w:numPr>
        <w:numId w:val="2"/>
      </w:numPr>
    </w:pPr>
  </w:style>
  <w:style w:type="paragraph" w:styleId="ListBullet5">
    <w:name w:val="List Bullet 5"/>
    <w:basedOn w:val="List5"/>
    <w:rsid w:val="00A522C6"/>
    <w:pPr>
      <w:numPr>
        <w:numId w:val="3"/>
      </w:numPr>
    </w:pPr>
  </w:style>
  <w:style w:type="paragraph" w:styleId="ListContinue2">
    <w:name w:val="List Continue 2"/>
    <w:basedOn w:val="List2"/>
    <w:rsid w:val="00A522C6"/>
    <w:pPr>
      <w:ind w:firstLine="0"/>
    </w:pPr>
  </w:style>
  <w:style w:type="paragraph" w:styleId="ListContinue3">
    <w:name w:val="List Continue 3"/>
    <w:basedOn w:val="List3"/>
    <w:rsid w:val="00A522C6"/>
    <w:pPr>
      <w:ind w:left="1021" w:firstLine="0"/>
    </w:pPr>
  </w:style>
  <w:style w:type="paragraph" w:styleId="ListContinue4">
    <w:name w:val="List Continue 4"/>
    <w:basedOn w:val="List4"/>
    <w:rsid w:val="00A522C6"/>
    <w:pPr>
      <w:ind w:firstLine="0"/>
    </w:pPr>
  </w:style>
  <w:style w:type="paragraph" w:styleId="ListContinue5">
    <w:name w:val="List Continue 5"/>
    <w:basedOn w:val="List5"/>
    <w:rsid w:val="00A522C6"/>
    <w:pPr>
      <w:ind w:firstLine="0"/>
    </w:pPr>
  </w:style>
  <w:style w:type="paragraph" w:styleId="ListNumber3">
    <w:name w:val="List Number 3"/>
    <w:basedOn w:val="List3"/>
    <w:rsid w:val="00A522C6"/>
    <w:pPr>
      <w:numPr>
        <w:numId w:val="4"/>
      </w:numPr>
    </w:pPr>
  </w:style>
  <w:style w:type="paragraph" w:styleId="ListNumber4">
    <w:name w:val="List Number 4"/>
    <w:basedOn w:val="List4"/>
    <w:rsid w:val="00A522C6"/>
    <w:pPr>
      <w:numPr>
        <w:numId w:val="5"/>
      </w:numPr>
    </w:pPr>
  </w:style>
  <w:style w:type="paragraph" w:styleId="ListNumber5">
    <w:name w:val="List Number 5"/>
    <w:basedOn w:val="List5"/>
    <w:rsid w:val="00A522C6"/>
    <w:pPr>
      <w:numPr>
        <w:numId w:val="6"/>
      </w:numPr>
    </w:pPr>
  </w:style>
  <w:style w:type="paragraph" w:styleId="BlockText">
    <w:name w:val="Block Text"/>
    <w:basedOn w:val="Normal"/>
    <w:rsid w:val="00A522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22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22C6"/>
    <w:rPr>
      <w:sz w:val="16"/>
      <w:vertAlign w:val="superscript"/>
    </w:rPr>
  </w:style>
  <w:style w:type="character" w:customStyle="1" w:styleId="Symbols">
    <w:name w:val="Symbols"/>
    <w:basedOn w:val="DefaultParagraphFont"/>
    <w:rsid w:val="00A522C6"/>
    <w:rPr>
      <w:rFonts w:ascii="Symbol" w:hAnsi="Symbol"/>
    </w:rPr>
  </w:style>
  <w:style w:type="character" w:customStyle="1" w:styleId="MenuOptions">
    <w:name w:val="Menu Options"/>
    <w:basedOn w:val="DefaultParagraphFont"/>
    <w:rsid w:val="00A522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22C6"/>
    <w:rPr>
      <w:b/>
    </w:rPr>
  </w:style>
  <w:style w:type="character" w:customStyle="1" w:styleId="Underlined">
    <w:name w:val="Underlined"/>
    <w:basedOn w:val="DefaultParagraphFont"/>
    <w:rsid w:val="00A522C6"/>
    <w:rPr>
      <w:u w:val="single"/>
    </w:rPr>
  </w:style>
  <w:style w:type="paragraph" w:customStyle="1" w:styleId="TableBodyTextRight">
    <w:name w:val="Table Body Text Right"/>
    <w:basedOn w:val="TableBodyText"/>
    <w:rsid w:val="00A522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22C6"/>
    <w:rPr>
      <w:sz w:val="18"/>
    </w:rPr>
  </w:style>
  <w:style w:type="paragraph" w:customStyle="1" w:styleId="BodySmallRight">
    <w:name w:val="Body Small Right"/>
    <w:basedOn w:val="BodyTextRight"/>
    <w:rsid w:val="00A522C6"/>
    <w:rPr>
      <w:sz w:val="18"/>
      <w:szCs w:val="18"/>
    </w:rPr>
  </w:style>
  <w:style w:type="paragraph" w:customStyle="1" w:styleId="MarginEdition">
    <w:name w:val="Margin Edition"/>
    <w:basedOn w:val="MarginNote"/>
    <w:rsid w:val="00A522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22C6"/>
    <w:rPr>
      <w:sz w:val="2"/>
      <w:szCs w:val="2"/>
    </w:rPr>
  </w:style>
  <w:style w:type="character" w:customStyle="1" w:styleId="Small">
    <w:name w:val="Small"/>
    <w:basedOn w:val="DefaultParagraphFont"/>
    <w:rsid w:val="00A522C6"/>
    <w:rPr>
      <w:sz w:val="16"/>
    </w:rPr>
  </w:style>
  <w:style w:type="paragraph" w:customStyle="1" w:styleId="WideTable">
    <w:name w:val="Wide Table"/>
    <w:basedOn w:val="Normal"/>
    <w:rsid w:val="00A522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22C6"/>
  </w:style>
  <w:style w:type="paragraph" w:styleId="Quote">
    <w:name w:val="Quote"/>
    <w:basedOn w:val="Heading1"/>
    <w:link w:val="QuoteChar"/>
    <w:qFormat/>
    <w:rsid w:val="00A522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22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22C6"/>
    <w:pPr>
      <w:pageBreakBefore/>
    </w:pPr>
  </w:style>
  <w:style w:type="paragraph" w:customStyle="1" w:styleId="Border">
    <w:name w:val="Border"/>
    <w:basedOn w:val="Normal"/>
    <w:qFormat/>
    <w:rsid w:val="00A522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22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2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2C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522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22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22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22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22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22C6"/>
    <w:rPr>
      <w:u w:val="single"/>
    </w:rPr>
  </w:style>
  <w:style w:type="paragraph" w:styleId="BalloonText">
    <w:name w:val="Balloon Text"/>
    <w:basedOn w:val="Normal"/>
    <w:link w:val="BalloonTextChar"/>
    <w:rsid w:val="00A52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22C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522C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22C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1037</Words>
  <Characters>6628</Characters>
  <Application>Microsoft Office Word</Application>
  <DocSecurity>0</DocSecurity>
  <Lines>248</Lines>
  <Paragraphs>113</Paragraphs>
  <ScaleCrop>false</ScaleCrop>
  <Company>Author-it Software Corporation Ltd.</Company>
  <LinksUpToDate>false</LinksUpToDate>
  <CharactersWithSpaces>7578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PUADEFEO401D Load and unload platforms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2012-05-26T04:17:00Z</dcterms:created>
  <dcterms:modified xsi:type="dcterms:W3CDTF">2012-05-26T04:17:00Z</dcterms:modified>
</cp:coreProperties>
</file>