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DA6" w:rsidP="00FE6DA6">
      <w:pPr>
        <w:pStyle w:val="Title"/>
      </w:pPr>
      <w:r>
        <w:fldChar w:fldCharType="begin"/>
      </w:r>
      <w:r>
        <w:instrText xml:space="preserve"> TITLE   \* MERGEFORMAT </w:instrText>
      </w:r>
      <w:r>
        <w:fldChar w:fldCharType="separate"/>
      </w:r>
      <w:r>
        <w:t>PUADEFEO204C Examine and certify free from explosive ordnance</w:t>
      </w:r>
      <w:r>
        <w:fldChar w:fldCharType="end"/>
      </w:r>
    </w:p>
    <w:p w:rsidR="00FE6DA6" w:rsidP="00FE6DA6">
      <w:pPr>
        <w:pStyle w:val="Version"/>
        <w:sectPr w:rsidSect="00B52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2906" w:rsidP="00B52906">
      <w:pPr>
        <w:pStyle w:val="SuperHeading"/>
      </w:pPr>
      <w:r w:rsidRPr="00B52906">
        <w:t>PUADEFEO204C Examine and certify free from explosive ordnance</w:t>
      </w:r>
    </w:p>
    <w:p w:rsidR="00000000" w:rsidRPr="00B52906" w:rsidP="00B52906">
      <w:pPr>
        <w:pStyle w:val="SuperHeading"/>
      </w:pPr>
    </w:p>
    <w:p w:rsidR="00000000" w:rsidRPr="00B52906" w:rsidP="00B52906">
      <w:pPr>
        <w:pStyle w:val="Heading1"/>
      </w:pPr>
      <w:bookmarkStart w:id="1" w:name="O_120759"/>
      <w:bookmarkEnd w:id="1"/>
      <w:r w:rsidRPr="00B52906">
        <w:t>Modification History</w:t>
      </w:r>
    </w:p>
    <w:p w:rsidR="00000000" w:rsidRPr="00B52906" w:rsidP="00B52906">
      <w:pPr>
        <w:pStyle w:val="BodyText"/>
      </w:pPr>
      <w:r w:rsidRPr="00B52906">
        <w:t>Not applicable.</w:t>
      </w:r>
    </w:p>
    <w:p w:rsidR="00000000" w:rsidRPr="00B52906" w:rsidP="00B52906">
      <w:pPr>
        <w:pStyle w:val="AllowPageBreak"/>
      </w:pPr>
    </w:p>
    <w:p w:rsidR="00000000" w:rsidRPr="00B52906" w:rsidP="00B52906">
      <w:pPr>
        <w:pStyle w:val="Heading1"/>
      </w:pPr>
      <w:bookmarkStart w:id="2" w:name="O_120760"/>
      <w:bookmarkEnd w:id="2"/>
      <w:r w:rsidRPr="00B52906">
        <w:t>Unit Descriptor</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52906" w:rsidP="00B52906">
            <w:pPr>
              <w:pStyle w:val="BodyText"/>
            </w:pPr>
            <w:r w:rsidRPr="00B52906">
              <w:t>This unit covers the competency required to examine and certify explosive o</w:t>
            </w:r>
            <w:r w:rsidRPr="00B52906">
              <w:t>rdnance packaging and non explosive dangerous goods packaging as being free from explosives (FFE) and arisings for salvage or return.</w:t>
            </w: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3" w:name="O_120761"/>
      <w:bookmarkEnd w:id="3"/>
      <w:r w:rsidRPr="00B52906">
        <w:t>Application of the Unit</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52906" w:rsidP="00B52906">
            <w:pPr>
              <w:pStyle w:val="BodyText"/>
            </w:pPr>
            <w:r w:rsidRPr="00B52906">
              <w:t>This competency normally applies to the individual who is required to examine and certify salvage and associated packaging as being FFE.</w:t>
            </w:r>
          </w:p>
          <w:p w:rsidR="00000000" w:rsidRPr="00B52906" w:rsidP="00B52906">
            <w:pPr>
              <w:pStyle w:val="BodyText"/>
            </w:pPr>
            <w:r w:rsidRPr="00B52906">
              <w:t>Certification of these items as being FFE is a statutory requirement at different stages in the processing of these ite</w:t>
            </w:r>
            <w:r w:rsidRPr="00B52906">
              <w:t>ms, in particular when being sold or offered to the public for scrap metal.</w:t>
            </w:r>
          </w:p>
          <w:p w:rsidR="00000000" w:rsidP="00B52906">
            <w:pPr>
              <w:pStyle w:val="BodyText"/>
              <w:rPr>
                <w:lang w:val="en-NZ"/>
              </w:rPr>
            </w:pPr>
            <w:r w:rsidRPr="00B52906">
              <w:t>Successful completion of this unit does not give the individual competency to carry out inerting of explosive ordnance for training or any other purpose.</w:t>
            </w:r>
          </w:p>
        </w:tc>
      </w:tr>
      <w:tr w:rsidTr="00FE6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52906" w:rsidP="00B52906">
            <w:pPr>
              <w:pStyle w:val="BodyText"/>
            </w:pP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4" w:name="O_120762"/>
      <w:bookmarkEnd w:id="4"/>
      <w:r w:rsidRPr="00B52906">
        <w:t>Lice</w:t>
      </w:r>
      <w:r w:rsidRPr="00B52906">
        <w:t>nsing/Regulatory Information</w:t>
      </w:r>
    </w:p>
    <w:p w:rsidR="00000000" w:rsidRPr="00B52906" w:rsidP="00B52906">
      <w:pPr>
        <w:pStyle w:val="BodyText"/>
      </w:pPr>
      <w:r w:rsidRPr="00B52906">
        <w:t>Not applicable.</w:t>
      </w:r>
    </w:p>
    <w:p w:rsidR="00000000" w:rsidRPr="00B52906" w:rsidP="00B52906">
      <w:pPr>
        <w:pStyle w:val="AllowPageBreak"/>
      </w:pPr>
    </w:p>
    <w:p w:rsidR="00000000" w:rsidRPr="00B52906" w:rsidP="00B52906">
      <w:pPr>
        <w:pStyle w:val="Heading1"/>
      </w:pPr>
      <w:bookmarkStart w:id="5" w:name="O_120763"/>
      <w:bookmarkEnd w:id="5"/>
      <w:r w:rsidRPr="00B52906">
        <w:t>Pre-Requisites</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Pre-requisite Unit</w:t>
            </w:r>
            <w:r w:rsidRPr="00B52906">
              <w:t>/</w:t>
            </w:r>
            <w:r w:rsidRPr="00B5290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52906" w:rsidP="00B52906">
            <w:pPr>
              <w:pStyle w:val="BodyText"/>
            </w:pPr>
            <w:r w:rsidRPr="00B52906">
              <w:t>Nil</w:t>
            </w: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6" w:name="O_120764"/>
      <w:bookmarkEnd w:id="6"/>
      <w:r w:rsidRPr="00B52906">
        <w:t>Employability Skills Information</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52906" w:rsidP="00B52906">
            <w:pPr>
              <w:pStyle w:val="BodyText"/>
            </w:pPr>
            <w:r w:rsidRPr="00B52906">
              <w:t>This unit contains employability skills.</w:t>
            </w: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7" w:name="O_120765"/>
      <w:bookmarkEnd w:id="7"/>
      <w:r w:rsidRPr="00B52906">
        <w:t>Elements and Performance Criteria Pre-Content</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Performance Criteria describe the required performance needed to demonstrate achievement of the element. Where bold italicised text is used, fur</w:t>
            </w:r>
            <w:r w:rsidRPr="00B52906">
              <w:t>ther information is detailed in the Required Skills and Knowledge and/or the Range Statement. Assessment of performance is to be consistent with the Evidence Guide.</w:t>
            </w: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8" w:name="O_120766"/>
      <w:bookmarkEnd w:id="8"/>
      <w:r w:rsidRPr="00B52906">
        <w:t>Elements and Performance Criteria</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52906" w:rsidP="00B52906">
            <w:pPr>
              <w:pStyle w:val="BodyText"/>
            </w:pPr>
            <w:r w:rsidRPr="00B5290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PERFORMANCE CRITERIA</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List"/>
              <w:rPr>
                <w:lang w:val="en-NZ"/>
              </w:rPr>
            </w:pPr>
            <w:r w:rsidRPr="00B52906">
              <w:t>1.</w:t>
            </w:r>
            <w:r w:rsidRPr="00B52906">
              <w:tab/>
            </w:r>
            <w:r w:rsidRPr="00B52906">
              <w:rPr>
                <w:rStyle w:val="SpecialBold"/>
              </w:rPr>
              <w:t>Prepare for certification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List2"/>
            </w:pPr>
            <w:r w:rsidRPr="00B52906">
              <w:t>1.1</w:t>
            </w:r>
            <w:r w:rsidRPr="00B52906">
              <w:tab/>
              <w:t>Requirement for certification is identified from work requests/instructions, analysed and confirmed</w:t>
            </w:r>
          </w:p>
          <w:p w:rsidR="00000000" w:rsidRPr="00B52906" w:rsidP="00B52906">
            <w:pPr>
              <w:pStyle w:val="List2"/>
            </w:pPr>
            <w:r w:rsidRPr="00B52906">
              <w:t>1.2</w:t>
            </w:r>
            <w:r w:rsidRPr="00B52906">
              <w:tab/>
              <w:t xml:space="preserve">Occupational health and safety requirements including those contained in </w:t>
            </w:r>
            <w:r w:rsidRPr="00B52906">
              <w:rPr>
                <w:rStyle w:val="BoldandItalics"/>
              </w:rPr>
              <w:t>organisational</w:t>
            </w:r>
            <w:r w:rsidRPr="00B52906">
              <w:t xml:space="preserve"> procedures, are applied throughout the operation</w:t>
            </w:r>
          </w:p>
          <w:p w:rsidR="00000000" w:rsidRPr="00B52906" w:rsidP="00B52906">
            <w:pPr>
              <w:pStyle w:val="List2"/>
            </w:pPr>
            <w:r w:rsidRPr="00B52906">
              <w:t>1.3</w:t>
            </w:r>
            <w:r w:rsidRPr="00B52906">
              <w:tab/>
              <w:t>Suitable location to carry out operation is identified and prepared</w:t>
            </w:r>
          </w:p>
          <w:p w:rsidR="00000000" w:rsidP="00B52906">
            <w:pPr>
              <w:pStyle w:val="List2"/>
              <w:rPr>
                <w:lang w:val="en-NZ"/>
              </w:rPr>
            </w:pPr>
            <w:r w:rsidRPr="00B52906">
              <w:t>1.4</w:t>
            </w:r>
            <w:r w:rsidRPr="00B52906">
              <w:tab/>
              <w:t>Equipment required for the certification process is identified, acquired and prepared for use</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52906">
            <w:pPr>
              <w:pStyle w:val="BodyText"/>
              <w:rPr>
                <w:lang w:val="en-NZ"/>
              </w:rPr>
            </w:pP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List"/>
              <w:rPr>
                <w:lang w:val="en-NZ"/>
              </w:rPr>
            </w:pPr>
            <w:r w:rsidRPr="00B52906">
              <w:t>2.</w:t>
            </w:r>
            <w:r w:rsidRPr="00B52906">
              <w:tab/>
            </w:r>
            <w:r w:rsidRPr="00B52906">
              <w:rPr>
                <w:rStyle w:val="SpecialBold"/>
              </w:rPr>
              <w:t>Certify as free from explosiv</w:t>
            </w:r>
            <w:r w:rsidRPr="00B52906">
              <w:rPr>
                <w:rStyle w:val="SpecialBold"/>
              </w:rPr>
              <w:t>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List2"/>
            </w:pPr>
            <w:r w:rsidRPr="00B52906">
              <w:t>2.1</w:t>
            </w:r>
            <w:r w:rsidRPr="00B52906">
              <w:tab/>
            </w:r>
            <w:r w:rsidRPr="00B52906">
              <w:rPr>
                <w:rStyle w:val="BoldandItalics"/>
              </w:rPr>
              <w:t>Examinations</w:t>
            </w:r>
            <w:r w:rsidRPr="00B52906">
              <w:t xml:space="preserve"> are conducted in accordance with organisational policy and procedures</w:t>
            </w:r>
          </w:p>
          <w:p w:rsidR="00000000" w:rsidRPr="00B52906" w:rsidP="00B52906">
            <w:pPr>
              <w:pStyle w:val="List2"/>
            </w:pPr>
            <w:r w:rsidRPr="00B52906">
              <w:t>2.2</w:t>
            </w:r>
            <w:r w:rsidRPr="00B52906">
              <w:tab/>
              <w:t>Items confirmed as being FFE are labelled in accordance with statutory and organisational requirements</w:t>
            </w:r>
          </w:p>
          <w:p w:rsidR="00000000" w:rsidP="00B52906">
            <w:pPr>
              <w:pStyle w:val="List2"/>
              <w:rPr>
                <w:lang w:val="en-NZ"/>
              </w:rPr>
            </w:pPr>
            <w:r w:rsidRPr="00B52906">
              <w:t>2.3</w:t>
            </w:r>
            <w:r w:rsidRPr="00B52906">
              <w:tab/>
              <w:t xml:space="preserve">Emergency and </w:t>
            </w:r>
            <w:r w:rsidRPr="00B52906">
              <w:rPr>
                <w:rStyle w:val="BoldandItalics"/>
              </w:rPr>
              <w:t>contingency procedures</w:t>
            </w:r>
            <w:r w:rsidRPr="00B52906">
              <w:t xml:space="preserve"> are applied in acc</w:t>
            </w:r>
            <w:r w:rsidRPr="00B52906">
              <w:t>ordance with organisational policy</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52906">
            <w:pPr>
              <w:pStyle w:val="BodyText"/>
              <w:rPr>
                <w:lang w:val="en-NZ"/>
              </w:rPr>
            </w:pP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List"/>
              <w:rPr>
                <w:lang w:val="en-NZ"/>
              </w:rPr>
            </w:pPr>
            <w:r w:rsidRPr="00B52906">
              <w:t>3.</w:t>
            </w:r>
            <w:r w:rsidRPr="00B52906">
              <w:tab/>
            </w:r>
            <w:r w:rsidRPr="00B52906">
              <w:rPr>
                <w:rStyle w:val="SpecialBold"/>
              </w:rPr>
              <w:t>Carry out post certification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List2"/>
            </w:pPr>
            <w:r w:rsidRPr="00B52906">
              <w:t>3.1</w:t>
            </w:r>
            <w:r w:rsidRPr="00B52906">
              <w:tab/>
              <w:t xml:space="preserve">Packaging, </w:t>
            </w:r>
            <w:r w:rsidRPr="00B52906">
              <w:rPr>
                <w:rStyle w:val="BoldandItalics"/>
              </w:rPr>
              <w:t>arisings</w:t>
            </w:r>
            <w:r w:rsidRPr="00B52906">
              <w:t xml:space="preserve"> and salvage is </w:t>
            </w:r>
            <w:r w:rsidRPr="00B52906">
              <w:rPr>
                <w:rStyle w:val="BoldandItalics"/>
              </w:rPr>
              <w:t>prepared</w:t>
            </w:r>
            <w:r w:rsidRPr="00B52906">
              <w:t xml:space="preserve"> as being FFE in accordance with organisational policy and procedures</w:t>
            </w:r>
          </w:p>
          <w:p w:rsidR="00000000" w:rsidP="00B52906">
            <w:pPr>
              <w:pStyle w:val="List2"/>
              <w:rPr>
                <w:lang w:val="en-NZ"/>
              </w:rPr>
            </w:pPr>
            <w:r w:rsidRPr="00B52906">
              <w:t>3.2</w:t>
            </w:r>
            <w:r w:rsidRPr="00B52906">
              <w:tab/>
            </w:r>
            <w:r w:rsidRPr="00B52906">
              <w:rPr>
                <w:rStyle w:val="BoldandItalics"/>
              </w:rPr>
              <w:t>Documentation</w:t>
            </w:r>
            <w:r w:rsidRPr="00B52906">
              <w:t xml:space="preserve"> and records are maintained in accordance with statutory, organisational and workshop requirements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9" w:name="O_120767"/>
      <w:bookmarkEnd w:id="9"/>
      <w:r w:rsidRPr="00B52906">
        <w:t>Required Skills and Knowledge</w:t>
      </w:r>
    </w:p>
    <w:tbl>
      <w:tblPr>
        <w:tblW w:w="0" w:type="auto"/>
        <w:tblLayout w:type="fixed"/>
        <w:tblCellMar>
          <w:left w:w="62" w:type="dxa"/>
          <w:right w:w="62" w:type="dxa"/>
        </w:tblCellMar>
        <w:tblLook w:val="0000"/>
      </w:tblPr>
      <w:tblGrid>
        <w:gridCol w:w="8640"/>
      </w:tblGrid>
      <w:tr w:rsidTr="00FE6DA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REQUIRED SKILLS AND KNOWLEDGE</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t>This describes the essential skills and knowledge and their level, required for this unit.</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Required Skills</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2906" w:rsidP="00B52906">
            <w:pPr>
              <w:pStyle w:val="ListBullet"/>
            </w:pPr>
            <w:r w:rsidRPr="00B52906">
              <w:t>apply operational safety</w:t>
            </w:r>
          </w:p>
          <w:p w:rsidR="00000000" w:rsidRPr="00B52906" w:rsidP="00B52906">
            <w:pPr>
              <w:pStyle w:val="ListBullet"/>
            </w:pPr>
            <w:r w:rsidRPr="00B52906">
              <w:t>certify as FFE</w:t>
            </w:r>
          </w:p>
          <w:p w:rsidR="00000000" w:rsidRPr="00B52906" w:rsidP="00B52906">
            <w:pPr>
              <w:pStyle w:val="ListBullet"/>
            </w:pPr>
            <w:r w:rsidRPr="00B52906">
              <w:t>certify as salvage/return</w:t>
            </w:r>
          </w:p>
          <w:p w:rsidR="00000000" w:rsidRPr="00B52906" w:rsidP="00B52906">
            <w:pPr>
              <w:pStyle w:val="ListBullet"/>
            </w:pPr>
            <w:r w:rsidRPr="00B52906">
              <w:t>identify ammunition and explosive components</w:t>
            </w:r>
          </w:p>
          <w:p w:rsidR="00000000" w:rsidRPr="00B52906" w:rsidP="00B52906">
            <w:pPr>
              <w:pStyle w:val="ListBullet"/>
            </w:pPr>
            <w:r w:rsidRPr="00B52906">
              <w:t>identify explosive contaminants</w:t>
            </w:r>
          </w:p>
          <w:p w:rsidR="00000000" w:rsidRPr="00B52906" w:rsidP="00B52906">
            <w:pPr>
              <w:pStyle w:val="ListBullet"/>
            </w:pPr>
            <w:r w:rsidRPr="00B52906">
              <w:t>ide</w:t>
            </w:r>
            <w:r w:rsidRPr="00B52906">
              <w:t>ntify relevant labels and markings</w:t>
            </w:r>
          </w:p>
          <w:p w:rsidR="00000000" w:rsidRPr="00B52906" w:rsidP="00B52906">
            <w:pPr>
              <w:pStyle w:val="ListBullet"/>
            </w:pPr>
            <w:r w:rsidRPr="00B52906">
              <w:t>maintain documentation</w:t>
            </w:r>
          </w:p>
          <w:p w:rsidR="00000000" w:rsidRPr="00B52906" w:rsidP="00B52906">
            <w:pPr>
              <w:pStyle w:val="ListBullet"/>
            </w:pPr>
            <w:r w:rsidRPr="00B52906">
              <w:t>read, access, interpret and apply technical instructions and drawings related to FFE certification</w:t>
            </w:r>
          </w:p>
          <w:p w:rsidR="00000000" w:rsidP="00B52906">
            <w:pPr>
              <w:pStyle w:val="ListBullet"/>
              <w:rPr>
                <w:lang w:val="en-NZ"/>
              </w:rPr>
            </w:pPr>
            <w:r w:rsidRPr="00B52906">
              <w:t>use tools and equipment</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Required Knowledge</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2906" w:rsidP="00B52906">
            <w:pPr>
              <w:pStyle w:val="ListBullet"/>
            </w:pPr>
            <w:r w:rsidRPr="00B52906">
              <w:t>documentation requirements</w:t>
            </w:r>
          </w:p>
          <w:p w:rsidR="00000000" w:rsidRPr="00B52906" w:rsidP="00B52906">
            <w:pPr>
              <w:pStyle w:val="ListBullet"/>
            </w:pPr>
            <w:r w:rsidRPr="00B52906">
              <w:t>equipment used in FFE process</w:t>
            </w:r>
          </w:p>
          <w:p w:rsidR="00000000" w:rsidRPr="00B52906" w:rsidP="00B52906">
            <w:pPr>
              <w:pStyle w:val="ListBullet"/>
            </w:pPr>
            <w:r w:rsidRPr="00B52906">
              <w:t>explosive contaminants</w:t>
            </w:r>
          </w:p>
          <w:p w:rsidR="00000000" w:rsidRPr="00B52906" w:rsidP="00B52906">
            <w:pPr>
              <w:pStyle w:val="ListBullet"/>
            </w:pPr>
            <w:r w:rsidRPr="00B52906">
              <w:t>explosive packaging components and fitments</w:t>
            </w:r>
          </w:p>
          <w:p w:rsidR="00000000" w:rsidRPr="00B52906" w:rsidP="00B52906">
            <w:pPr>
              <w:pStyle w:val="ListBullet"/>
            </w:pPr>
            <w:r w:rsidRPr="00B52906">
              <w:t>FFE certification procedures and requirements</w:t>
            </w:r>
          </w:p>
          <w:p w:rsidR="00000000" w:rsidRPr="00B52906" w:rsidP="00B52906">
            <w:pPr>
              <w:pStyle w:val="ListBullet"/>
            </w:pPr>
            <w:r w:rsidRPr="00B52906">
              <w:t>operational safety</w:t>
            </w:r>
          </w:p>
          <w:p w:rsidR="00000000" w:rsidRPr="00B52906" w:rsidP="00B52906">
            <w:pPr>
              <w:pStyle w:val="ListBullet"/>
            </w:pPr>
            <w:r w:rsidRPr="00B52906">
              <w:t>relevant labels and markings</w:t>
            </w:r>
          </w:p>
          <w:p w:rsidR="00000000" w:rsidRPr="00B52906" w:rsidP="00B52906">
            <w:pPr>
              <w:pStyle w:val="ListBullet"/>
            </w:pPr>
            <w:r w:rsidRPr="00B52906">
              <w:t>salvage/return certification procedures and requirements</w:t>
            </w:r>
          </w:p>
          <w:p w:rsidR="00000000" w:rsidP="00B52906">
            <w:pPr>
              <w:pStyle w:val="ListBullet"/>
              <w:rPr>
                <w:lang w:val="en-NZ"/>
              </w:rPr>
            </w:pPr>
            <w:r w:rsidRPr="00B52906">
              <w:t>types of</w:t>
            </w:r>
            <w:r w:rsidRPr="00B52906">
              <w:t xml:space="preserve"> ammunition, explosive ordnance and explosive component parts</w:t>
            </w:r>
          </w:p>
        </w:tc>
      </w:tr>
      <w:tr w:rsidTr="00FE6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2906" w:rsidP="00B52906">
            <w:pPr>
              <w:pStyle w:val="BodyText"/>
            </w:pP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10" w:name="O_120768"/>
      <w:bookmarkEnd w:id="10"/>
      <w:r w:rsidRPr="00B52906">
        <w:t>Evidence Guide</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52906">
            <w:pPr>
              <w:pStyle w:val="BodyText"/>
              <w:rPr>
                <w:lang w:val="en-NZ"/>
              </w:rPr>
            </w:pPr>
          </w:p>
        </w:tc>
      </w:tr>
      <w:tr w:rsidTr="00FE6D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t>The evidence guide provides advice on assessment and must be read in conjunction with the Performance Criteria, Required Skills and Knowledge, the Range Statement and the Assessment Guidelines for this Training Package.</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Critical aspects for assessment an</w:t>
            </w:r>
            <w:r w:rsidRPr="00B5290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Assessment must confirm the ability to:</w:t>
            </w:r>
          </w:p>
          <w:p w:rsidR="00000000" w:rsidRPr="00B52906" w:rsidP="00B52906">
            <w:pPr>
              <w:pStyle w:val="ListBullet"/>
            </w:pPr>
            <w:r w:rsidRPr="00B52906">
              <w:t>adhere to operational safety requirements</w:t>
            </w:r>
          </w:p>
          <w:p w:rsidR="00000000" w:rsidRPr="00B52906" w:rsidP="00B52906">
            <w:pPr>
              <w:pStyle w:val="ListBullet"/>
            </w:pPr>
            <w:r w:rsidRPr="00B52906">
              <w:t>identify explosive ordnance, explosive components and explosive contaminants</w:t>
            </w:r>
          </w:p>
          <w:p w:rsidR="00000000" w:rsidRPr="00B52906" w:rsidP="00B52906">
            <w:pPr>
              <w:pStyle w:val="ListBullet"/>
            </w:pPr>
            <w:r w:rsidRPr="00B52906">
              <w:t>certify as being FFE</w:t>
            </w:r>
          </w:p>
          <w:p w:rsidR="00000000" w:rsidRPr="00B52906" w:rsidP="00B52906">
            <w:pPr>
              <w:pStyle w:val="ListBullet"/>
            </w:pPr>
            <w:r w:rsidRPr="00B52906">
              <w:t>maintain documen</w:t>
            </w:r>
            <w:r w:rsidRPr="00B52906">
              <w:t>tation.</w:t>
            </w:r>
          </w:p>
          <w:p w:rsidR="00000000" w:rsidRPr="00B52906" w:rsidP="00B52906">
            <w:pPr>
              <w:pStyle w:val="BodyText"/>
            </w:pPr>
            <w:r w:rsidRPr="00B52906">
              <w:rPr>
                <w:rStyle w:val="SpecialBold"/>
              </w:rPr>
              <w:t>Consistency in performance</w:t>
            </w:r>
          </w:p>
          <w:p w:rsidR="00000000" w:rsidP="00B52906">
            <w:pPr>
              <w:pStyle w:val="BodyText"/>
              <w:rPr>
                <w:lang w:val="en-NZ"/>
              </w:rPr>
            </w:pPr>
            <w:r w:rsidRPr="00B52906">
              <w:t>Competency should be demonstrated in a range of actual or simulated explosive ordnance contexts.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52906">
            <w:pPr>
              <w:pStyle w:val="BodyText"/>
              <w:rPr>
                <w:lang w:val="en-NZ"/>
              </w:rPr>
            </w:pP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52906" w:rsidP="00B52906">
            <w:pPr>
              <w:pStyle w:val="BodyText"/>
            </w:pPr>
            <w:r w:rsidRPr="00B5290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rPr>
                <w:rStyle w:val="SpecialBold"/>
              </w:rPr>
              <w:t>Context of assessment</w:t>
            </w:r>
          </w:p>
          <w:p w:rsidR="00000000" w:rsidRPr="00B52906" w:rsidP="00B52906">
            <w:pPr>
              <w:pStyle w:val="BodyText"/>
            </w:pPr>
            <w:r w:rsidRPr="00B52906">
              <w:t>Competency should be assessed in the workplace or under conditions which accurately simulate a realistic workplace in accordance with all relevant legislation and organisational requirements.</w:t>
            </w:r>
          </w:p>
          <w:p w:rsidR="00000000" w:rsidRPr="00B52906" w:rsidP="00B52906">
            <w:pPr>
              <w:pStyle w:val="BodyText"/>
            </w:pPr>
            <w:r w:rsidRPr="00B52906">
              <w:rPr>
                <w:rStyle w:val="SpecialBold"/>
              </w:rPr>
              <w:t>Specific resources for assessment</w:t>
            </w:r>
          </w:p>
          <w:p w:rsidR="00000000" w:rsidRPr="00B52906" w:rsidP="00B52906">
            <w:pPr>
              <w:pStyle w:val="BodyText"/>
            </w:pPr>
            <w:r w:rsidRPr="00B52906">
              <w:t>Access is required to:</w:t>
            </w:r>
          </w:p>
          <w:p w:rsidR="00000000" w:rsidP="00B52906">
            <w:pPr>
              <w:pStyle w:val="ListBullet"/>
              <w:rPr>
                <w:lang w:val="en-NZ"/>
              </w:rPr>
            </w:pPr>
            <w:r w:rsidRPr="00B52906">
              <w:t>facili</w:t>
            </w:r>
            <w:r w:rsidRPr="00B52906">
              <w:t>ties and resources used in the packaging, storage, distribution and maintenance of explosive ordnance, including a licensed explosive site.</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52906">
            <w:pPr>
              <w:pStyle w:val="BodyText"/>
              <w:rPr>
                <w:lang w:val="en-NZ"/>
              </w:rPr>
            </w:pP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Method of assessment</w:t>
            </w:r>
            <w:r w:rsidRPr="00B5290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This unit may be assessed with the following unit:</w:t>
            </w:r>
          </w:p>
          <w:p w:rsidR="00000000" w:rsidRPr="00B52906" w:rsidP="00B52906">
            <w:pPr>
              <w:pStyle w:val="ListBullet"/>
            </w:pPr>
            <w:r w:rsidRPr="00B52906">
              <w:t>PUADEFEO101D Work safely with explosive ordnance.</w:t>
            </w:r>
          </w:p>
          <w:p w:rsidR="00000000" w:rsidRPr="00B52906" w:rsidP="00B52906">
            <w:pPr>
              <w:pStyle w:val="BodyText"/>
            </w:pPr>
            <w:r w:rsidRPr="00B52906">
              <w:t>In a public safety environment assessment is usually conducted via direct observation in a training environment or in the workplace via subject matter supervision and/or mentoring, which is typically record</w:t>
            </w:r>
            <w:r w:rsidRPr="00B52906">
              <w:t>ed in a competency workbook.</w:t>
            </w:r>
          </w:p>
          <w:p w:rsidR="00000000" w:rsidRPr="00B52906" w:rsidP="00B52906">
            <w:pPr>
              <w:pStyle w:val="BodyText"/>
            </w:pPr>
            <w:r w:rsidRPr="00B52906">
              <w:t>Assessment is completed using appropriately qualified assessors who select the most appropriate method of assessment.</w:t>
            </w:r>
          </w:p>
          <w:p w:rsidR="00000000" w:rsidRPr="00B52906" w:rsidP="00B52906">
            <w:pPr>
              <w:pStyle w:val="BodyText"/>
            </w:pPr>
            <w:r w:rsidRPr="00B52906">
              <w:t>Assessment may occur in an operational environment or in an industry-approved simulated work environment. For</w:t>
            </w:r>
            <w:r w:rsidRPr="00B52906">
              <w:t>ms of assessment that are typically used include:</w:t>
            </w:r>
          </w:p>
          <w:p w:rsidR="00000000" w:rsidRPr="00B52906" w:rsidP="00B52906">
            <w:pPr>
              <w:pStyle w:val="ListBullet"/>
            </w:pPr>
            <w:r w:rsidRPr="00B52906">
              <w:t>direct observation</w:t>
            </w:r>
          </w:p>
          <w:p w:rsidR="00000000" w:rsidRPr="00B52906" w:rsidP="00B52906">
            <w:pPr>
              <w:pStyle w:val="ListBullet"/>
            </w:pPr>
            <w:r w:rsidRPr="00B52906">
              <w:t>interviewing the candidate</w:t>
            </w:r>
          </w:p>
          <w:p w:rsidR="00000000" w:rsidRPr="00B52906" w:rsidP="00B52906">
            <w:pPr>
              <w:pStyle w:val="ListBullet"/>
            </w:pPr>
            <w:r w:rsidRPr="00B52906">
              <w:t>journals and workplace documentation</w:t>
            </w:r>
          </w:p>
          <w:p w:rsidR="00000000" w:rsidRPr="00B52906" w:rsidP="00B52906">
            <w:pPr>
              <w:pStyle w:val="ListBullet"/>
            </w:pPr>
            <w:r w:rsidRPr="00B52906">
              <w:t>third party reports from supervisors</w:t>
            </w:r>
          </w:p>
          <w:p w:rsidR="00000000" w:rsidRPr="00B52906" w:rsidP="00B52906">
            <w:pPr>
              <w:pStyle w:val="ListBullet"/>
            </w:pPr>
            <w:r w:rsidRPr="00B52906">
              <w:t>written or oral questions.</w:t>
            </w: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11" w:name="O_120769"/>
      <w:bookmarkEnd w:id="11"/>
      <w:r w:rsidRPr="00B52906">
        <w:t>Range Statement</w:t>
      </w:r>
    </w:p>
    <w:tbl>
      <w:tblPr>
        <w:tblW w:w="0" w:type="auto"/>
        <w:tblLayout w:type="fixed"/>
        <w:tblCellMar>
          <w:left w:w="62" w:type="dxa"/>
          <w:right w:w="62" w:type="dxa"/>
        </w:tblCellMar>
        <w:tblLook w:val="0000"/>
      </w:tblPr>
      <w:tblGrid>
        <w:gridCol w:w="3060"/>
        <w:gridCol w:w="5580"/>
      </w:tblGrid>
      <w:tr w:rsidTr="00FE6DA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rPr>
                <w:rStyle w:val="SpecialBold"/>
              </w:rPr>
              <w:t>RANGE STATEMENT</w:t>
            </w:r>
          </w:p>
        </w:tc>
      </w:tr>
      <w:tr w:rsidTr="00FE6D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52906">
            <w:pPr>
              <w:pStyle w:val="BodyText"/>
              <w:rPr>
                <w:lang w:val="en-NZ"/>
              </w:rPr>
            </w:pPr>
            <w:r w:rsidRPr="00B52906">
              <w:t xml:space="preserve">The Range Statement relates to the Unit of Competency as a whole. It allows for different work environments and situations that may affect performance. </w:t>
            </w:r>
            <w:r w:rsidRPr="00B52906">
              <w:rPr>
                <w:rStyle w:val="BoldandItalics"/>
              </w:rPr>
              <w:t>Bold italicised</w:t>
            </w:r>
            <w:r w:rsidRPr="00B52906">
              <w:t xml:space="preserve"> wording in the Performance Criteria is detailed below.</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Defenc</w:t>
            </w:r>
            <w:r w:rsidRPr="00B52906">
              <w:t>e organisation</w:t>
            </w:r>
          </w:p>
          <w:p w:rsidR="00000000" w:rsidRPr="00B52906" w:rsidP="00B52906">
            <w:pPr>
              <w:pStyle w:val="BodyText"/>
            </w:pPr>
            <w:r w:rsidRPr="00B52906">
              <w:t xml:space="preserve">Enterprises that work with explosive ordnance </w:t>
            </w:r>
          </w:p>
          <w:p w:rsidR="00000000" w:rsidP="00B52906">
            <w:pPr>
              <w:pStyle w:val="BodyText"/>
              <w:rPr>
                <w:lang w:val="en-NZ"/>
              </w:rPr>
            </w:pPr>
            <w:r w:rsidRPr="00B52906">
              <w:t>Other government departments or instrumentalities that work with explosive ordnance</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Examinations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 xml:space="preserve">Visual inspection of arisings and salvage to confirm items have been functioned </w:t>
            </w:r>
          </w:p>
          <w:p w:rsidR="00000000" w:rsidP="00B52906">
            <w:pPr>
              <w:pStyle w:val="BodyText"/>
              <w:rPr>
                <w:lang w:val="en-NZ"/>
              </w:rPr>
            </w:pPr>
            <w:r w:rsidRPr="00B52906">
              <w:t>Visual inspection of containers to confirm status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Contingency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B52906">
            <w:pPr>
              <w:pStyle w:val="BodyText"/>
              <w:rPr>
                <w:lang w:val="en-NZ"/>
              </w:rPr>
            </w:pPr>
            <w:r w:rsidRPr="00B52906">
              <w:t>Organisational procedures to be applied in the event that explosive ordnance and/or associated components are found in the packaging</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Arisings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Produce</w:t>
            </w:r>
          </w:p>
          <w:p w:rsidR="00000000" w:rsidRPr="00B52906" w:rsidP="00B52906">
            <w:pPr>
              <w:pStyle w:val="BodyText"/>
            </w:pPr>
            <w:r w:rsidRPr="00B52906">
              <w:t>Range p</w:t>
            </w:r>
            <w:r w:rsidRPr="00B52906">
              <w:t>roduce</w:t>
            </w:r>
          </w:p>
          <w:p w:rsidR="00000000" w:rsidP="00B52906">
            <w:pPr>
              <w:pStyle w:val="BodyText"/>
              <w:rPr>
                <w:lang w:val="en-NZ"/>
              </w:rPr>
            </w:pPr>
            <w:r w:rsidRPr="00B52906">
              <w:t>All functioned items of explosive ordnance and associated components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Preparing packaging</w:t>
            </w:r>
            <w:r w:rsidRPr="00B52906">
              <w:t xml:space="preserve">, </w:t>
            </w:r>
            <w:r w:rsidRPr="00B52906">
              <w:rPr>
                <w:rStyle w:val="SpecialBold"/>
              </w:rPr>
              <w:t>arisings and salvage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Defacing stencils</w:t>
            </w:r>
          </w:p>
          <w:p w:rsidR="00000000" w:rsidRPr="00B52906" w:rsidP="00B52906">
            <w:pPr>
              <w:pStyle w:val="BodyText"/>
            </w:pPr>
            <w:r w:rsidRPr="00B52906">
              <w:t xml:space="preserve">Packing arisings and salvage </w:t>
            </w:r>
          </w:p>
          <w:p w:rsidR="00000000" w:rsidRPr="00B52906" w:rsidP="00B52906">
            <w:pPr>
              <w:pStyle w:val="BodyText"/>
            </w:pPr>
            <w:r w:rsidRPr="00B52906">
              <w:t>Removing and destroying consumables and data cards</w:t>
            </w:r>
          </w:p>
          <w:p w:rsidR="00000000" w:rsidRPr="00B52906" w:rsidP="00B52906">
            <w:pPr>
              <w:pStyle w:val="BodyText"/>
            </w:pPr>
            <w:r w:rsidRPr="00B52906">
              <w:t>Removing labels such as ha</w:t>
            </w:r>
            <w:r w:rsidRPr="00B52906">
              <w:t>zard classification and UN number</w:t>
            </w:r>
          </w:p>
          <w:p w:rsidR="00000000" w:rsidP="00B52906">
            <w:pPr>
              <w:pStyle w:val="BodyText"/>
              <w:rPr>
                <w:lang w:val="en-NZ"/>
              </w:rPr>
            </w:pPr>
            <w:r w:rsidRPr="00B52906">
              <w:t>Replacing fitments required by specifications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2906">
            <w:pPr>
              <w:pStyle w:val="BodyText"/>
              <w:rPr>
                <w:lang w:val="en-NZ"/>
              </w:rPr>
            </w:pPr>
            <w:r w:rsidRPr="00B52906">
              <w:rPr>
                <w:rStyle w:val="SpecialBold"/>
              </w:rPr>
              <w:t>Documentation will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r w:rsidRPr="00B52906">
              <w:t>Certified FFE labels</w:t>
            </w:r>
          </w:p>
          <w:p w:rsidR="00000000" w:rsidP="00B52906">
            <w:pPr>
              <w:pStyle w:val="BodyText"/>
              <w:rPr>
                <w:lang w:val="en-NZ"/>
              </w:rPr>
            </w:pPr>
            <w:r w:rsidRPr="00B52906">
              <w:t>Salvage/return labels</w:t>
            </w:r>
          </w:p>
        </w:tc>
      </w:tr>
      <w:tr w:rsidTr="00FE6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52906" w:rsidP="00B52906">
            <w:pPr>
              <w:pStyle w:val="BodyText"/>
            </w:pPr>
          </w:p>
        </w:tc>
      </w:tr>
    </w:tbl>
    <w:p w:rsidR="00000000" w:rsidRPr="00B52906" w:rsidP="00B52906">
      <w:pPr>
        <w:pStyle w:val="BodyText"/>
      </w:pPr>
    </w:p>
    <w:p w:rsidR="00000000" w:rsidRPr="00B52906" w:rsidP="00B52906">
      <w:pPr>
        <w:pStyle w:val="AllowPageBreak"/>
      </w:pPr>
    </w:p>
    <w:p w:rsidR="00000000" w:rsidRPr="00B52906" w:rsidP="00B52906">
      <w:pPr>
        <w:pStyle w:val="Heading1"/>
      </w:pPr>
      <w:bookmarkStart w:id="12" w:name="O_120770"/>
      <w:bookmarkEnd w:id="12"/>
      <w:r w:rsidRPr="00B52906">
        <w:t>Unit Sector(s)</w:t>
      </w:r>
    </w:p>
    <w:p w:rsidR="00000000" w:rsidRPr="00B52906" w:rsidP="00B52906">
      <w:pPr>
        <w:pStyle w:val="BodyText"/>
      </w:pPr>
      <w:r w:rsidRPr="00B52906">
        <w:t>Not applicable.</w:t>
      </w:r>
    </w:p>
    <w:p w:rsidR="00000000" w:rsidRPr="00B52906" w:rsidP="00B52906"/>
    <w:sectPr w:rsidSect="00B52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DA6" w:rsidP="00FE6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A6" w:rsidP="00B52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6DA6" w:rsidP="00B52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E6DA6" w:rsidP="00B529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DA6" w:rsidP="00FE6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A6" w:rsidP="00B52906">
    <w:pPr>
      <w:pStyle w:val="Header"/>
      <w:framePr w:wrap="around"/>
    </w:pPr>
    <w:r>
      <w:fldChar w:fldCharType="begin"/>
    </w:r>
    <w:r>
      <w:instrText xml:space="preserve"> TITLE   \* MERGEFORMAT </w:instrText>
    </w:r>
    <w:r>
      <w:fldChar w:fldCharType="separate"/>
    </w:r>
    <w:r>
      <w:t>PUADEFEO204C Examine and certify free from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6DA6" w:rsidP="00B529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C7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403C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9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906"/>
    <w:pPr>
      <w:spacing w:before="360" w:after="60"/>
      <w:outlineLvl w:val="0"/>
    </w:pPr>
    <w:rPr>
      <w:sz w:val="32"/>
    </w:rPr>
  </w:style>
  <w:style w:type="paragraph" w:styleId="Heading2">
    <w:name w:val="heading 2"/>
    <w:basedOn w:val="HeadingBase"/>
    <w:next w:val="BodyText"/>
    <w:link w:val="Heading2Char"/>
    <w:qFormat/>
    <w:rsid w:val="00B52906"/>
    <w:pPr>
      <w:keepLines/>
      <w:spacing w:before="240" w:after="120"/>
      <w:outlineLvl w:val="1"/>
    </w:pPr>
    <w:rPr>
      <w:sz w:val="28"/>
      <w:szCs w:val="40"/>
    </w:rPr>
  </w:style>
  <w:style w:type="paragraph" w:styleId="Heading3">
    <w:name w:val="heading 3"/>
    <w:basedOn w:val="HeadingBase"/>
    <w:next w:val="BodyText"/>
    <w:link w:val="Heading3Char"/>
    <w:qFormat/>
    <w:rsid w:val="00B52906"/>
    <w:pPr>
      <w:spacing w:before="180" w:after="120"/>
      <w:outlineLvl w:val="2"/>
    </w:pPr>
    <w:rPr>
      <w:spacing w:val="-10"/>
      <w:kern w:val="32"/>
    </w:rPr>
  </w:style>
  <w:style w:type="paragraph" w:styleId="Heading4">
    <w:name w:val="heading 4"/>
    <w:basedOn w:val="HeadingBase"/>
    <w:next w:val="BodyText"/>
    <w:link w:val="Heading4Char"/>
    <w:qFormat/>
    <w:rsid w:val="00B52906"/>
    <w:pPr>
      <w:spacing w:before="160" w:after="120"/>
      <w:outlineLvl w:val="3"/>
    </w:pPr>
    <w:rPr>
      <w:sz w:val="22"/>
    </w:rPr>
  </w:style>
  <w:style w:type="paragraph" w:styleId="Heading5">
    <w:name w:val="heading 5"/>
    <w:basedOn w:val="HeadingBase"/>
    <w:next w:val="Normal"/>
    <w:link w:val="Heading5Char"/>
    <w:qFormat/>
    <w:rsid w:val="00B52906"/>
    <w:pPr>
      <w:spacing w:before="80"/>
      <w:outlineLvl w:val="4"/>
    </w:pPr>
    <w:rPr>
      <w:color w:val="918585"/>
      <w:sz w:val="20"/>
    </w:rPr>
  </w:style>
  <w:style w:type="paragraph" w:styleId="Heading6">
    <w:name w:val="heading 6"/>
    <w:basedOn w:val="HeadingBase"/>
    <w:next w:val="Normal"/>
    <w:link w:val="Heading6Char"/>
    <w:qFormat/>
    <w:rsid w:val="00B52906"/>
    <w:pPr>
      <w:spacing w:before="60"/>
      <w:outlineLvl w:val="5"/>
    </w:pPr>
    <w:rPr>
      <w:color w:val="918585"/>
      <w:sz w:val="20"/>
    </w:rPr>
  </w:style>
  <w:style w:type="paragraph" w:styleId="Heading7">
    <w:name w:val="heading 7"/>
    <w:basedOn w:val="Normal"/>
    <w:next w:val="Normal"/>
    <w:link w:val="Heading7Char"/>
    <w:qFormat/>
    <w:rsid w:val="00B52906"/>
    <w:pPr>
      <w:ind w:left="720"/>
      <w:outlineLvl w:val="6"/>
    </w:pPr>
    <w:rPr>
      <w:i/>
    </w:rPr>
  </w:style>
  <w:style w:type="paragraph" w:styleId="Heading8">
    <w:name w:val="heading 8"/>
    <w:basedOn w:val="Normal"/>
    <w:next w:val="Normal"/>
    <w:link w:val="Heading8Char"/>
    <w:qFormat/>
    <w:rsid w:val="00B52906"/>
    <w:pPr>
      <w:ind w:left="720"/>
      <w:outlineLvl w:val="7"/>
    </w:pPr>
    <w:rPr>
      <w:i/>
    </w:rPr>
  </w:style>
  <w:style w:type="paragraph" w:styleId="Heading9">
    <w:name w:val="heading 9"/>
    <w:basedOn w:val="Normal"/>
    <w:next w:val="Normal"/>
    <w:link w:val="Heading9Char"/>
    <w:qFormat/>
    <w:rsid w:val="00B52906"/>
    <w:pPr>
      <w:ind w:left="720"/>
      <w:outlineLvl w:val="8"/>
    </w:pPr>
    <w:rPr>
      <w:i/>
    </w:rPr>
  </w:style>
  <w:style w:type="character" w:default="1" w:styleId="DefaultParagraphFont">
    <w:name w:val="Default Paragraph Font"/>
    <w:uiPriority w:val="1"/>
    <w:unhideWhenUsed/>
    <w:rsid w:val="00B52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906"/>
  </w:style>
  <w:style w:type="character" w:customStyle="1" w:styleId="Heading1Char">
    <w:name w:val="Heading 1 Char"/>
    <w:basedOn w:val="DefaultParagraphFont"/>
    <w:link w:val="Heading1"/>
    <w:rsid w:val="00B52906"/>
    <w:rPr>
      <w:rFonts w:ascii="Times New Roman" w:eastAsia="Times New Roman" w:hAnsi="Times New Roman" w:cs="Times New Roman"/>
      <w:b/>
      <w:sz w:val="32"/>
      <w:szCs w:val="20"/>
      <w:lang w:eastAsia="en-US"/>
    </w:rPr>
  </w:style>
  <w:style w:type="paragraph" w:styleId="BodyText">
    <w:name w:val="Body Text"/>
    <w:basedOn w:val="Normal"/>
    <w:link w:val="BodyTextChar"/>
    <w:rsid w:val="00B52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906"/>
    <w:rPr>
      <w:rFonts w:ascii="Times New Roman" w:eastAsia="Times New Roman" w:hAnsi="Times New Roman" w:cs="Times New Roman"/>
      <w:sz w:val="24"/>
      <w:lang w:val="en-US" w:eastAsia="en-US"/>
    </w:rPr>
  </w:style>
  <w:style w:type="paragraph" w:styleId="Footer">
    <w:name w:val="footer"/>
    <w:basedOn w:val="Normal"/>
    <w:link w:val="FooterChar"/>
    <w:rsid w:val="00B52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906"/>
    <w:rPr>
      <w:rFonts w:ascii="Times New Roman" w:eastAsia="Times New Roman" w:hAnsi="Times New Roman" w:cs="Times New Roman"/>
      <w:sz w:val="16"/>
      <w:lang w:val="en-US" w:eastAsia="en-US"/>
    </w:rPr>
  </w:style>
  <w:style w:type="paragraph" w:styleId="List">
    <w:name w:val="List"/>
    <w:basedOn w:val="BodyText"/>
    <w:next w:val="BodyText"/>
    <w:rsid w:val="00B52906"/>
    <w:pPr>
      <w:tabs>
        <w:tab w:val="left" w:pos="340"/>
      </w:tabs>
      <w:spacing w:before="60" w:after="60"/>
      <w:ind w:left="340" w:hanging="340"/>
    </w:pPr>
  </w:style>
  <w:style w:type="paragraph" w:styleId="ListBullet">
    <w:name w:val="List Bullet"/>
    <w:basedOn w:val="List"/>
    <w:rsid w:val="00B52906"/>
    <w:pPr>
      <w:numPr>
        <w:numId w:val="12"/>
      </w:numPr>
      <w:tabs>
        <w:tab w:val="clear" w:pos="340"/>
      </w:tabs>
      <w:spacing w:before="40" w:after="40"/>
    </w:pPr>
  </w:style>
  <w:style w:type="character" w:customStyle="1" w:styleId="SpecialBold">
    <w:name w:val="Special Bold"/>
    <w:basedOn w:val="DefaultParagraphFont"/>
    <w:rsid w:val="00B52906"/>
    <w:rPr>
      <w:b/>
      <w:spacing w:val="0"/>
    </w:rPr>
  </w:style>
  <w:style w:type="paragraph" w:styleId="Header">
    <w:name w:val="header"/>
    <w:basedOn w:val="Normal"/>
    <w:link w:val="HeaderChar"/>
    <w:rsid w:val="00B52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9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906"/>
    <w:pPr>
      <w:spacing w:before="240" w:after="120"/>
      <w:outlineLvl w:val="0"/>
    </w:pPr>
    <w:rPr>
      <w:rFonts w:ascii="Times New Roman" w:hAnsi="Times New Roman"/>
      <w:b/>
      <w:sz w:val="28"/>
    </w:rPr>
  </w:style>
  <w:style w:type="paragraph" w:customStyle="1" w:styleId="AllowPageBreak">
    <w:name w:val="AllowPageBreak"/>
    <w:rsid w:val="00B529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2906"/>
    <w:pPr>
      <w:tabs>
        <w:tab w:val="left" w:pos="680"/>
      </w:tabs>
      <w:spacing w:before="60" w:after="60"/>
      <w:ind w:left="680" w:hanging="340"/>
    </w:pPr>
  </w:style>
  <w:style w:type="character" w:customStyle="1" w:styleId="BoldandItalics">
    <w:name w:val="Bold and Italics"/>
    <w:qFormat/>
    <w:rsid w:val="00B52906"/>
    <w:rPr>
      <w:b/>
      <w:i/>
      <w:u w:val="none"/>
    </w:rPr>
  </w:style>
  <w:style w:type="character" w:customStyle="1" w:styleId="Heading2Char">
    <w:name w:val="Heading 2 Char"/>
    <w:basedOn w:val="DefaultParagraphFont"/>
    <w:link w:val="Heading2"/>
    <w:rsid w:val="00B52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9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9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906"/>
    <w:rPr>
      <w:rFonts w:ascii="Courier New" w:eastAsia="Times New Roman" w:hAnsi="Courier New" w:cs="Times New Roman"/>
      <w:i/>
      <w:szCs w:val="20"/>
      <w:lang w:val="en-US" w:eastAsia="en-US"/>
    </w:rPr>
  </w:style>
  <w:style w:type="paragraph" w:customStyle="1" w:styleId="HeadingBase">
    <w:name w:val="Heading Base"/>
    <w:rsid w:val="00B52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906"/>
    <w:pPr>
      <w:tabs>
        <w:tab w:val="right" w:leader="dot" w:pos="9072"/>
      </w:tabs>
      <w:ind w:left="567"/>
    </w:pPr>
    <w:rPr>
      <w:szCs w:val="22"/>
    </w:rPr>
  </w:style>
  <w:style w:type="paragraph" w:customStyle="1" w:styleId="TOCBase">
    <w:name w:val="TOC Base"/>
    <w:rsid w:val="00B52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906"/>
    <w:pPr>
      <w:tabs>
        <w:tab w:val="right" w:leader="dot" w:pos="9072"/>
      </w:tabs>
      <w:spacing w:before="40" w:after="40"/>
      <w:ind w:left="284"/>
    </w:pPr>
    <w:rPr>
      <w:rFonts w:ascii="Times New Roman" w:hAnsi="Times New Roman"/>
    </w:rPr>
  </w:style>
  <w:style w:type="paragraph" w:styleId="TOC1">
    <w:name w:val="toc 1"/>
    <w:basedOn w:val="TOCBase"/>
    <w:next w:val="Normal"/>
    <w:rsid w:val="00B529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906"/>
    <w:pPr>
      <w:spacing w:before="5040"/>
      <w:jc w:val="center"/>
    </w:pPr>
    <w:rPr>
      <w:sz w:val="48"/>
      <w:szCs w:val="72"/>
      <w:lang w:val="en-US"/>
    </w:rPr>
  </w:style>
  <w:style w:type="character" w:customStyle="1" w:styleId="TitleChar">
    <w:name w:val="Title Char"/>
    <w:basedOn w:val="DefaultParagraphFont"/>
    <w:link w:val="Title"/>
    <w:rsid w:val="00B52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906"/>
    <w:pPr>
      <w:tabs>
        <w:tab w:val="left" w:pos="3600"/>
        <w:tab w:val="left" w:pos="3958"/>
      </w:tabs>
    </w:pPr>
  </w:style>
  <w:style w:type="paragraph" w:customStyle="1" w:styleId="Note">
    <w:name w:val="Note"/>
    <w:basedOn w:val="BodyText"/>
    <w:rsid w:val="00B52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906"/>
    <w:pPr>
      <w:framePr w:wrap="auto" w:hAnchor="text" w:y="6049"/>
    </w:pPr>
    <w:rPr>
      <w:color w:val="000000"/>
      <w:sz w:val="40"/>
    </w:rPr>
  </w:style>
  <w:style w:type="paragraph" w:customStyle="1" w:styleId="TOCTitle">
    <w:name w:val="TOCTitle"/>
    <w:basedOn w:val="Heading1"/>
    <w:rsid w:val="00B52906"/>
    <w:pPr>
      <w:spacing w:after="240"/>
      <w:jc w:val="center"/>
      <w:outlineLvl w:val="9"/>
    </w:pPr>
    <w:rPr>
      <w:caps/>
    </w:rPr>
  </w:style>
  <w:style w:type="paragraph" w:customStyle="1" w:styleId="Version">
    <w:name w:val="Version"/>
    <w:rsid w:val="00B52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906"/>
    <w:pPr>
      <w:numPr>
        <w:numId w:val="13"/>
      </w:numPr>
      <w:tabs>
        <w:tab w:val="clear" w:pos="680"/>
      </w:tabs>
    </w:pPr>
  </w:style>
  <w:style w:type="paragraph" w:styleId="Index1">
    <w:name w:val="index 1"/>
    <w:basedOn w:val="Normal"/>
    <w:next w:val="Normal"/>
    <w:semiHidden/>
    <w:rsid w:val="00B52906"/>
    <w:pPr>
      <w:keepNext w:val="0"/>
      <w:tabs>
        <w:tab w:val="right" w:pos="4176"/>
      </w:tabs>
      <w:ind w:left="198" w:hanging="198"/>
    </w:pPr>
    <w:rPr>
      <w:rFonts w:ascii="Garamond" w:hAnsi="Garamond"/>
    </w:rPr>
  </w:style>
  <w:style w:type="paragraph" w:styleId="IndexHeading">
    <w:name w:val="index heading"/>
    <w:basedOn w:val="Normal"/>
    <w:next w:val="Index1"/>
    <w:semiHidden/>
    <w:rsid w:val="00B52906"/>
    <w:pPr>
      <w:spacing w:before="120" w:after="120"/>
    </w:pPr>
    <w:rPr>
      <w:rFonts w:ascii="Arial" w:hAnsi="Arial"/>
      <w:b/>
      <w:color w:val="918585"/>
      <w:sz w:val="24"/>
    </w:rPr>
  </w:style>
  <w:style w:type="paragraph" w:customStyle="1" w:styleId="Chapter">
    <w:name w:val="Chapter"/>
    <w:basedOn w:val="Normal"/>
    <w:rsid w:val="00B52906"/>
    <w:pPr>
      <w:spacing w:before="240"/>
    </w:pPr>
    <w:rPr>
      <w:rFonts w:ascii="Times New Roman" w:hAnsi="Times New Roman"/>
      <w:smallCaps/>
      <w:spacing w:val="80"/>
      <w:sz w:val="28"/>
    </w:rPr>
  </w:style>
  <w:style w:type="paragraph" w:customStyle="1" w:styleId="InChapter">
    <w:name w:val="InChapter"/>
    <w:basedOn w:val="Heading3"/>
    <w:rsid w:val="00B52906"/>
    <w:pPr>
      <w:spacing w:after="240"/>
      <w:outlineLvl w:val="9"/>
    </w:pPr>
    <w:rPr>
      <w:noProof/>
    </w:rPr>
  </w:style>
  <w:style w:type="paragraph" w:styleId="Index2">
    <w:name w:val="index 2"/>
    <w:basedOn w:val="Normal"/>
    <w:next w:val="Normal"/>
    <w:semiHidden/>
    <w:rsid w:val="00B52906"/>
    <w:pPr>
      <w:tabs>
        <w:tab w:val="right" w:pos="4176"/>
      </w:tabs>
      <w:ind w:left="568" w:hanging="284"/>
    </w:pPr>
    <w:rPr>
      <w:rFonts w:ascii="Garamond" w:hAnsi="Garamond"/>
    </w:rPr>
  </w:style>
  <w:style w:type="paragraph" w:customStyle="1" w:styleId="Byline">
    <w:name w:val="Byline"/>
    <w:rsid w:val="00B52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906"/>
    <w:pPr>
      <w:tabs>
        <w:tab w:val="clear" w:pos="3600"/>
        <w:tab w:val="clear" w:pos="3958"/>
      </w:tabs>
      <w:jc w:val="right"/>
    </w:pPr>
  </w:style>
  <w:style w:type="character" w:styleId="Emphasis">
    <w:name w:val="Emphasis"/>
    <w:basedOn w:val="DefaultParagraphFont"/>
    <w:qFormat/>
    <w:rsid w:val="00B52906"/>
    <w:rPr>
      <w:i/>
    </w:rPr>
  </w:style>
  <w:style w:type="paragraph" w:styleId="Caption">
    <w:name w:val="caption"/>
    <w:basedOn w:val="BodyText"/>
    <w:next w:val="Normal"/>
    <w:qFormat/>
    <w:rsid w:val="00B52906"/>
    <w:pPr>
      <w:framePr w:w="2268" w:hSpace="181" w:vSpace="181" w:wrap="around" w:vAnchor="text" w:hAnchor="page" w:x="1135" w:y="285" w:anchorLock="1"/>
    </w:pPr>
    <w:rPr>
      <w:i/>
    </w:rPr>
  </w:style>
  <w:style w:type="paragraph" w:customStyle="1" w:styleId="MiniTOCTitle">
    <w:name w:val="MiniTOCTitle"/>
    <w:basedOn w:val="Heading4"/>
    <w:rsid w:val="00B52906"/>
    <w:pPr>
      <w:spacing w:before="240"/>
      <w:outlineLvl w:val="9"/>
    </w:pPr>
    <w:rPr>
      <w:noProof/>
      <w:sz w:val="24"/>
    </w:rPr>
  </w:style>
  <w:style w:type="paragraph" w:customStyle="1" w:styleId="MiniTOCItem">
    <w:name w:val="MiniTOCItem"/>
    <w:basedOn w:val="ListBullet"/>
    <w:rsid w:val="00B52906"/>
    <w:pPr>
      <w:numPr>
        <w:numId w:val="0"/>
      </w:numPr>
      <w:tabs>
        <w:tab w:val="right" w:leader="dot" w:pos="6521"/>
      </w:tabs>
      <w:spacing w:before="0" w:after="0"/>
    </w:pPr>
  </w:style>
  <w:style w:type="paragraph" w:customStyle="1" w:styleId="TOFTitle">
    <w:name w:val="TOFTitle"/>
    <w:basedOn w:val="TOCTitle"/>
    <w:rsid w:val="00B52906"/>
  </w:style>
  <w:style w:type="paragraph" w:styleId="TableofFigures">
    <w:name w:val="table of figures"/>
    <w:basedOn w:val="Normal"/>
    <w:next w:val="Normal"/>
    <w:semiHidden/>
    <w:rsid w:val="00B52906"/>
    <w:pPr>
      <w:tabs>
        <w:tab w:val="right" w:leader="dot" w:pos="9072"/>
      </w:tabs>
      <w:ind w:left="970" w:hanging="403"/>
    </w:pPr>
    <w:rPr>
      <w:rFonts w:ascii="Times New Roman" w:hAnsi="Times New Roman"/>
      <w:b/>
    </w:rPr>
  </w:style>
  <w:style w:type="paragraph" w:styleId="ListNumber">
    <w:name w:val="List Number"/>
    <w:basedOn w:val="List"/>
    <w:rsid w:val="00B52906"/>
    <w:pPr>
      <w:numPr>
        <w:numId w:val="10"/>
      </w:numPr>
    </w:pPr>
  </w:style>
  <w:style w:type="character" w:customStyle="1" w:styleId="WingdingSymbols">
    <w:name w:val="Wingding Symbols"/>
    <w:rsid w:val="00B52906"/>
    <w:rPr>
      <w:rFonts w:ascii="Wingdings" w:hAnsi="Wingdings"/>
    </w:rPr>
  </w:style>
  <w:style w:type="paragraph" w:customStyle="1" w:styleId="TableHeading">
    <w:name w:val="Table Heading"/>
    <w:basedOn w:val="HeadingBase"/>
    <w:rsid w:val="00B52906"/>
    <w:pPr>
      <w:keepLines/>
      <w:pBdr>
        <w:bottom w:val="single" w:sz="6" w:space="1" w:color="918585"/>
      </w:pBdr>
      <w:spacing w:before="240"/>
    </w:pPr>
  </w:style>
  <w:style w:type="character" w:customStyle="1" w:styleId="HotSpot">
    <w:name w:val="HotSpot"/>
    <w:rsid w:val="00B52906"/>
    <w:rPr>
      <w:color w:val="0033CC"/>
      <w:u w:val="none"/>
    </w:rPr>
  </w:style>
  <w:style w:type="paragraph" w:customStyle="1" w:styleId="BodyTextRight">
    <w:name w:val="Body Text Right"/>
    <w:basedOn w:val="BodyText"/>
    <w:rsid w:val="00B52906"/>
    <w:pPr>
      <w:spacing w:before="0" w:after="0"/>
      <w:jc w:val="right"/>
    </w:pPr>
  </w:style>
  <w:style w:type="paragraph" w:styleId="Index3">
    <w:name w:val="index 3"/>
    <w:basedOn w:val="ListNumber2"/>
    <w:next w:val="Normal"/>
    <w:semiHidden/>
    <w:rsid w:val="00B52906"/>
    <w:pPr>
      <w:numPr>
        <w:numId w:val="0"/>
      </w:numPr>
      <w:tabs>
        <w:tab w:val="right" w:leader="dot" w:pos="4176"/>
      </w:tabs>
    </w:pPr>
  </w:style>
  <w:style w:type="paragraph" w:styleId="ListNumber2">
    <w:name w:val="List Number 2"/>
    <w:basedOn w:val="List2"/>
    <w:rsid w:val="00B52906"/>
    <w:pPr>
      <w:numPr>
        <w:numId w:val="9"/>
      </w:numPr>
      <w:tabs>
        <w:tab w:val="clear" w:pos="1060"/>
      </w:tabs>
    </w:pPr>
  </w:style>
  <w:style w:type="paragraph" w:customStyle="1" w:styleId="MarginNote">
    <w:name w:val="Margin Note"/>
    <w:basedOn w:val="BodyText"/>
    <w:rsid w:val="00B52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9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906"/>
    <w:rPr>
      <w:sz w:val="32"/>
    </w:rPr>
  </w:style>
  <w:style w:type="paragraph" w:customStyle="1" w:styleId="HeadingProcedure">
    <w:name w:val="Heading Procedure"/>
    <w:basedOn w:val="HeadingBase"/>
    <w:next w:val="Normal"/>
    <w:rsid w:val="00B52906"/>
    <w:pPr>
      <w:tabs>
        <w:tab w:val="left" w:pos="0"/>
      </w:tabs>
      <w:spacing w:before="120" w:after="60"/>
    </w:pPr>
    <w:rPr>
      <w:i/>
      <w:color w:val="918585"/>
      <w:sz w:val="22"/>
    </w:rPr>
  </w:style>
  <w:style w:type="paragraph" w:customStyle="1" w:styleId="TableBodyText">
    <w:name w:val="Table Body Text"/>
    <w:basedOn w:val="BodyText"/>
    <w:rsid w:val="00B52906"/>
    <w:pPr>
      <w:spacing w:before="60" w:after="60"/>
    </w:pPr>
  </w:style>
  <w:style w:type="paragraph" w:styleId="ListContinue">
    <w:name w:val="List Continue"/>
    <w:basedOn w:val="List"/>
    <w:rsid w:val="00B52906"/>
    <w:pPr>
      <w:ind w:firstLine="0"/>
    </w:pPr>
  </w:style>
  <w:style w:type="paragraph" w:customStyle="1" w:styleId="ListNote">
    <w:name w:val="List Note"/>
    <w:basedOn w:val="List"/>
    <w:rsid w:val="00B52906"/>
    <w:pPr>
      <w:pBdr>
        <w:top w:val="single" w:sz="6" w:space="2" w:color="918585"/>
        <w:bottom w:val="single" w:sz="6" w:space="2" w:color="918585"/>
      </w:pBdr>
      <w:tabs>
        <w:tab w:val="left" w:pos="1021"/>
      </w:tabs>
      <w:ind w:firstLine="0"/>
    </w:pPr>
  </w:style>
  <w:style w:type="paragraph" w:customStyle="1" w:styleId="Warning">
    <w:name w:val="Warning"/>
    <w:basedOn w:val="BodyText"/>
    <w:rsid w:val="00B52906"/>
    <w:pPr>
      <w:shd w:val="clear" w:color="auto" w:fill="D9D9D9"/>
      <w:tabs>
        <w:tab w:val="left" w:pos="992"/>
      </w:tabs>
      <w:ind w:left="119" w:right="119"/>
    </w:pPr>
    <w:rPr>
      <w:sz w:val="20"/>
    </w:rPr>
  </w:style>
  <w:style w:type="paragraph" w:customStyle="1" w:styleId="MarginIcons">
    <w:name w:val="Margin Icons"/>
    <w:basedOn w:val="BodyText"/>
    <w:rsid w:val="00B52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906"/>
    <w:rPr>
      <w:rFonts w:ascii="Courier New" w:hAnsi="Courier New"/>
    </w:rPr>
  </w:style>
  <w:style w:type="paragraph" w:customStyle="1" w:styleId="NoteBullet">
    <w:name w:val="Note Bullet"/>
    <w:basedOn w:val="Note"/>
    <w:rsid w:val="00B52906"/>
    <w:pPr>
      <w:tabs>
        <w:tab w:val="clear" w:pos="680"/>
      </w:tabs>
      <w:spacing w:before="60" w:after="60"/>
    </w:pPr>
  </w:style>
  <w:style w:type="paragraph" w:customStyle="1" w:styleId="SubHeading2">
    <w:name w:val="SubHeading2"/>
    <w:basedOn w:val="HeadingBase"/>
    <w:rsid w:val="00B52906"/>
    <w:pPr>
      <w:spacing w:before="240" w:after="60"/>
    </w:pPr>
    <w:rPr>
      <w:sz w:val="20"/>
    </w:rPr>
  </w:style>
  <w:style w:type="paragraph" w:customStyle="1" w:styleId="SubHeading1">
    <w:name w:val="SubHeading1"/>
    <w:basedOn w:val="HeadingBase"/>
    <w:rsid w:val="00B52906"/>
    <w:pPr>
      <w:spacing w:before="240" w:after="60"/>
    </w:pPr>
    <w:rPr>
      <w:color w:val="918585"/>
      <w:sz w:val="22"/>
    </w:rPr>
  </w:style>
  <w:style w:type="paragraph" w:customStyle="1" w:styleId="SideHeading">
    <w:name w:val="Side Heading"/>
    <w:basedOn w:val="HeadingBase"/>
    <w:rsid w:val="00B52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906"/>
    <w:pPr>
      <w:tabs>
        <w:tab w:val="num" w:pos="360"/>
      </w:tabs>
    </w:pPr>
  </w:style>
  <w:style w:type="paragraph" w:styleId="PlainText">
    <w:name w:val="Plain Text"/>
    <w:basedOn w:val="Normal"/>
    <w:link w:val="PlainTextChar"/>
    <w:rsid w:val="00B52906"/>
    <w:rPr>
      <w:sz w:val="20"/>
    </w:rPr>
  </w:style>
  <w:style w:type="character" w:customStyle="1" w:styleId="PlainTextChar">
    <w:name w:val="Plain Text Char"/>
    <w:basedOn w:val="DefaultParagraphFont"/>
    <w:link w:val="PlainText"/>
    <w:rsid w:val="00B529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906"/>
    <w:rPr>
      <w:b/>
      <w:smallCaps/>
    </w:rPr>
  </w:style>
  <w:style w:type="paragraph" w:customStyle="1" w:styleId="TableListNumber">
    <w:name w:val="Table List Number"/>
    <w:basedOn w:val="ListNumber"/>
    <w:rsid w:val="00B52906"/>
    <w:pPr>
      <w:numPr>
        <w:numId w:val="0"/>
      </w:numPr>
    </w:pPr>
  </w:style>
  <w:style w:type="paragraph" w:styleId="TOC4">
    <w:name w:val="toc 4"/>
    <w:basedOn w:val="TOCBase"/>
    <w:next w:val="Normal"/>
    <w:semiHidden/>
    <w:rsid w:val="00B52906"/>
    <w:pPr>
      <w:tabs>
        <w:tab w:val="right" w:leader="dot" w:pos="9071"/>
      </w:tabs>
      <w:ind w:left="1701"/>
    </w:pPr>
  </w:style>
  <w:style w:type="paragraph" w:customStyle="1" w:styleId="ListAlpha">
    <w:name w:val="List Alpha"/>
    <w:basedOn w:val="List"/>
    <w:rsid w:val="00B52906"/>
    <w:pPr>
      <w:numPr>
        <w:numId w:val="8"/>
      </w:numPr>
    </w:pPr>
  </w:style>
  <w:style w:type="paragraph" w:customStyle="1" w:styleId="ListAlpha2">
    <w:name w:val="List Alpha 2"/>
    <w:basedOn w:val="List2"/>
    <w:rsid w:val="00B52906"/>
    <w:pPr>
      <w:numPr>
        <w:numId w:val="7"/>
      </w:numPr>
    </w:pPr>
  </w:style>
  <w:style w:type="paragraph" w:styleId="List3">
    <w:name w:val="List 3"/>
    <w:basedOn w:val="BodyText"/>
    <w:rsid w:val="00B52906"/>
    <w:pPr>
      <w:tabs>
        <w:tab w:val="left" w:pos="1021"/>
      </w:tabs>
      <w:spacing w:before="60" w:after="60"/>
      <w:ind w:left="1020" w:hanging="340"/>
    </w:pPr>
  </w:style>
  <w:style w:type="paragraph" w:styleId="List4">
    <w:name w:val="List 4"/>
    <w:basedOn w:val="BodyText"/>
    <w:rsid w:val="00B52906"/>
    <w:pPr>
      <w:tabs>
        <w:tab w:val="left" w:pos="1361"/>
      </w:tabs>
      <w:spacing w:before="60" w:after="60"/>
      <w:ind w:left="1361" w:hanging="340"/>
    </w:pPr>
  </w:style>
  <w:style w:type="paragraph" w:styleId="List5">
    <w:name w:val="List 5"/>
    <w:basedOn w:val="BodyText"/>
    <w:rsid w:val="00B52906"/>
    <w:pPr>
      <w:tabs>
        <w:tab w:val="left" w:pos="1701"/>
      </w:tabs>
      <w:spacing w:before="60" w:after="60"/>
      <w:ind w:left="1701" w:hanging="340"/>
    </w:pPr>
  </w:style>
  <w:style w:type="paragraph" w:styleId="ListBullet3">
    <w:name w:val="List Bullet 3"/>
    <w:basedOn w:val="List3"/>
    <w:rsid w:val="00B52906"/>
    <w:pPr>
      <w:numPr>
        <w:numId w:val="14"/>
      </w:numPr>
      <w:tabs>
        <w:tab w:val="clear" w:pos="1021"/>
      </w:tabs>
      <w:ind w:left="1037" w:hanging="357"/>
    </w:pPr>
  </w:style>
  <w:style w:type="paragraph" w:styleId="ListBullet4">
    <w:name w:val="List Bullet 4"/>
    <w:basedOn w:val="List4"/>
    <w:rsid w:val="00B52906"/>
    <w:pPr>
      <w:numPr>
        <w:numId w:val="2"/>
      </w:numPr>
    </w:pPr>
  </w:style>
  <w:style w:type="paragraph" w:styleId="ListBullet5">
    <w:name w:val="List Bullet 5"/>
    <w:basedOn w:val="List5"/>
    <w:rsid w:val="00B52906"/>
    <w:pPr>
      <w:numPr>
        <w:numId w:val="3"/>
      </w:numPr>
    </w:pPr>
  </w:style>
  <w:style w:type="paragraph" w:styleId="ListContinue2">
    <w:name w:val="List Continue 2"/>
    <w:basedOn w:val="List2"/>
    <w:rsid w:val="00B52906"/>
    <w:pPr>
      <w:ind w:firstLine="0"/>
    </w:pPr>
  </w:style>
  <w:style w:type="paragraph" w:styleId="ListContinue3">
    <w:name w:val="List Continue 3"/>
    <w:basedOn w:val="List3"/>
    <w:rsid w:val="00B52906"/>
    <w:pPr>
      <w:ind w:left="1021" w:firstLine="0"/>
    </w:pPr>
  </w:style>
  <w:style w:type="paragraph" w:styleId="ListContinue4">
    <w:name w:val="List Continue 4"/>
    <w:basedOn w:val="List4"/>
    <w:rsid w:val="00B52906"/>
    <w:pPr>
      <w:ind w:firstLine="0"/>
    </w:pPr>
  </w:style>
  <w:style w:type="paragraph" w:styleId="ListContinue5">
    <w:name w:val="List Continue 5"/>
    <w:basedOn w:val="List5"/>
    <w:rsid w:val="00B52906"/>
    <w:pPr>
      <w:ind w:firstLine="0"/>
    </w:pPr>
  </w:style>
  <w:style w:type="paragraph" w:styleId="ListNumber3">
    <w:name w:val="List Number 3"/>
    <w:basedOn w:val="List3"/>
    <w:rsid w:val="00B52906"/>
    <w:pPr>
      <w:numPr>
        <w:numId w:val="4"/>
      </w:numPr>
    </w:pPr>
  </w:style>
  <w:style w:type="paragraph" w:styleId="ListNumber4">
    <w:name w:val="List Number 4"/>
    <w:basedOn w:val="List4"/>
    <w:rsid w:val="00B52906"/>
    <w:pPr>
      <w:numPr>
        <w:numId w:val="5"/>
      </w:numPr>
    </w:pPr>
  </w:style>
  <w:style w:type="paragraph" w:styleId="ListNumber5">
    <w:name w:val="List Number 5"/>
    <w:basedOn w:val="List5"/>
    <w:rsid w:val="00B52906"/>
    <w:pPr>
      <w:numPr>
        <w:numId w:val="6"/>
      </w:numPr>
    </w:pPr>
  </w:style>
  <w:style w:type="paragraph" w:styleId="BlockText">
    <w:name w:val="Block Text"/>
    <w:basedOn w:val="Normal"/>
    <w:rsid w:val="00B52906"/>
    <w:pPr>
      <w:spacing w:after="120"/>
      <w:ind w:left="1440" w:right="1440"/>
    </w:pPr>
  </w:style>
  <w:style w:type="character" w:customStyle="1" w:styleId="Subscript">
    <w:name w:val="Subscript"/>
    <w:basedOn w:val="DefaultParagraphFont"/>
    <w:rsid w:val="00B52906"/>
    <w:rPr>
      <w:sz w:val="16"/>
      <w:vertAlign w:val="subscript"/>
    </w:rPr>
  </w:style>
  <w:style w:type="character" w:customStyle="1" w:styleId="Superscript">
    <w:name w:val="Superscript"/>
    <w:basedOn w:val="DefaultParagraphFont"/>
    <w:rsid w:val="00B52906"/>
    <w:rPr>
      <w:sz w:val="16"/>
      <w:vertAlign w:val="superscript"/>
    </w:rPr>
  </w:style>
  <w:style w:type="character" w:customStyle="1" w:styleId="Symbols">
    <w:name w:val="Symbols"/>
    <w:basedOn w:val="DefaultParagraphFont"/>
    <w:rsid w:val="00B52906"/>
    <w:rPr>
      <w:rFonts w:ascii="Symbol" w:hAnsi="Symbol"/>
    </w:rPr>
  </w:style>
  <w:style w:type="character" w:customStyle="1" w:styleId="MenuOptions">
    <w:name w:val="Menu Options"/>
    <w:basedOn w:val="DefaultParagraphFont"/>
    <w:rsid w:val="00B52906"/>
    <w:rPr>
      <w:rFonts w:ascii="Arial Narrow" w:hAnsi="Arial Narrow"/>
      <w:smallCaps/>
    </w:rPr>
  </w:style>
  <w:style w:type="character" w:customStyle="1" w:styleId="Buttons">
    <w:name w:val="Buttons"/>
    <w:basedOn w:val="DefaultParagraphFont"/>
    <w:rsid w:val="00B52906"/>
    <w:rPr>
      <w:b/>
    </w:rPr>
  </w:style>
  <w:style w:type="character" w:customStyle="1" w:styleId="Underlined">
    <w:name w:val="Underlined"/>
    <w:basedOn w:val="DefaultParagraphFont"/>
    <w:rsid w:val="00B52906"/>
    <w:rPr>
      <w:u w:val="single"/>
    </w:rPr>
  </w:style>
  <w:style w:type="paragraph" w:customStyle="1" w:styleId="TableBodyTextRight">
    <w:name w:val="Table Body Text Right"/>
    <w:basedOn w:val="TableBodyText"/>
    <w:rsid w:val="00B52906"/>
    <w:pPr>
      <w:widowControl w:val="0"/>
      <w:autoSpaceDE w:val="0"/>
      <w:autoSpaceDN w:val="0"/>
      <w:adjustRightInd w:val="0"/>
      <w:jc w:val="right"/>
    </w:pPr>
    <w:rPr>
      <w:rFonts w:cs="Arial"/>
      <w:szCs w:val="18"/>
    </w:rPr>
  </w:style>
  <w:style w:type="paragraph" w:customStyle="1" w:styleId="CopyrightText">
    <w:name w:val="Copyright Text"/>
    <w:basedOn w:val="BodyText"/>
    <w:rsid w:val="00B52906"/>
    <w:rPr>
      <w:sz w:val="18"/>
    </w:rPr>
  </w:style>
  <w:style w:type="paragraph" w:customStyle="1" w:styleId="BodySmallRight">
    <w:name w:val="Body Small Right"/>
    <w:basedOn w:val="BodyTextRight"/>
    <w:rsid w:val="00B52906"/>
    <w:rPr>
      <w:sz w:val="18"/>
      <w:szCs w:val="18"/>
    </w:rPr>
  </w:style>
  <w:style w:type="paragraph" w:customStyle="1" w:styleId="MarginEdition">
    <w:name w:val="Margin Edition"/>
    <w:basedOn w:val="MarginNote"/>
    <w:rsid w:val="00B52906"/>
    <w:pPr>
      <w:spacing w:before="0" w:after="0"/>
    </w:pPr>
    <w:rPr>
      <w:rFonts w:ascii="Times New Roman" w:hAnsi="Times New Roman"/>
      <w:color w:val="999999"/>
    </w:rPr>
  </w:style>
  <w:style w:type="paragraph" w:customStyle="1" w:styleId="Spacer">
    <w:name w:val="Spacer"/>
    <w:basedOn w:val="Normal"/>
    <w:rsid w:val="00B52906"/>
    <w:rPr>
      <w:sz w:val="2"/>
      <w:szCs w:val="2"/>
    </w:rPr>
  </w:style>
  <w:style w:type="character" w:customStyle="1" w:styleId="Small">
    <w:name w:val="Small"/>
    <w:basedOn w:val="DefaultParagraphFont"/>
    <w:rsid w:val="00B52906"/>
    <w:rPr>
      <w:sz w:val="16"/>
    </w:rPr>
  </w:style>
  <w:style w:type="paragraph" w:customStyle="1" w:styleId="WideTable">
    <w:name w:val="Wide Table"/>
    <w:basedOn w:val="Normal"/>
    <w:rsid w:val="00B52906"/>
    <w:pPr>
      <w:ind w:left="-1418"/>
    </w:pPr>
    <w:rPr>
      <w:sz w:val="2"/>
      <w:szCs w:val="2"/>
    </w:rPr>
  </w:style>
  <w:style w:type="character" w:styleId="PageNumber">
    <w:name w:val="page number"/>
    <w:basedOn w:val="DefaultParagraphFont"/>
    <w:rsid w:val="00B52906"/>
  </w:style>
  <w:style w:type="paragraph" w:styleId="Quote">
    <w:name w:val="Quote"/>
    <w:basedOn w:val="Heading1"/>
    <w:link w:val="QuoteChar"/>
    <w:qFormat/>
    <w:rsid w:val="00B52906"/>
    <w:rPr>
      <w:b w:val="0"/>
      <w:sz w:val="72"/>
      <w:szCs w:val="72"/>
      <w:lang w:val="en-NZ"/>
    </w:rPr>
  </w:style>
  <w:style w:type="character" w:customStyle="1" w:styleId="QuoteChar">
    <w:name w:val="Quote Char"/>
    <w:basedOn w:val="DefaultParagraphFont"/>
    <w:link w:val="Quote"/>
    <w:rsid w:val="00B52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906"/>
    <w:pPr>
      <w:pageBreakBefore/>
    </w:pPr>
  </w:style>
  <w:style w:type="paragraph" w:customStyle="1" w:styleId="Border">
    <w:name w:val="Border"/>
    <w:basedOn w:val="Normal"/>
    <w:qFormat/>
    <w:rsid w:val="00B52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906"/>
    <w:rPr>
      <w:b/>
      <w:bCs/>
      <w:i/>
      <w:iCs/>
      <w:color w:val="auto"/>
    </w:rPr>
  </w:style>
  <w:style w:type="paragraph" w:styleId="IntenseQuote">
    <w:name w:val="Intense Quote"/>
    <w:basedOn w:val="Normal"/>
    <w:next w:val="Normal"/>
    <w:link w:val="IntenseQuoteChar"/>
    <w:uiPriority w:val="30"/>
    <w:qFormat/>
    <w:rsid w:val="00B52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9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906"/>
    <w:rPr>
      <w:smallCaps/>
      <w:color w:val="auto"/>
      <w:u w:val="single"/>
    </w:rPr>
  </w:style>
  <w:style w:type="character" w:styleId="IntenseReference">
    <w:name w:val="Intense Reference"/>
    <w:basedOn w:val="DefaultParagraphFont"/>
    <w:uiPriority w:val="32"/>
    <w:qFormat/>
    <w:rsid w:val="00B52906"/>
    <w:rPr>
      <w:b/>
      <w:bCs/>
      <w:smallCaps/>
      <w:color w:val="auto"/>
      <w:spacing w:val="5"/>
      <w:u w:val="single"/>
    </w:rPr>
  </w:style>
  <w:style w:type="paragraph" w:customStyle="1" w:styleId="2ColumnHeading">
    <w:name w:val="2Column Heading"/>
    <w:basedOn w:val="BodyText"/>
    <w:qFormat/>
    <w:rsid w:val="00B52906"/>
    <w:pPr>
      <w:spacing w:after="60"/>
      <w:ind w:left="-2268"/>
    </w:pPr>
    <w:rPr>
      <w:b/>
    </w:rPr>
  </w:style>
  <w:style w:type="paragraph" w:customStyle="1" w:styleId="Heading1TOC">
    <w:name w:val="Heading1 TOC"/>
    <w:basedOn w:val="Normal"/>
    <w:qFormat/>
    <w:rsid w:val="00B52906"/>
    <w:pPr>
      <w:spacing w:before="240" w:after="120"/>
    </w:pPr>
    <w:rPr>
      <w:rFonts w:ascii="Times New Roman" w:hAnsi="Times New Roman"/>
      <w:b/>
      <w:sz w:val="32"/>
    </w:rPr>
  </w:style>
  <w:style w:type="paragraph" w:customStyle="1" w:styleId="Heading2TOC">
    <w:name w:val="Heading2 TOC"/>
    <w:basedOn w:val="Normal"/>
    <w:qFormat/>
    <w:rsid w:val="00B52906"/>
    <w:pPr>
      <w:spacing w:before="240" w:after="60"/>
    </w:pPr>
    <w:rPr>
      <w:rFonts w:ascii="Times New Roman" w:hAnsi="Times New Roman"/>
      <w:b/>
      <w:sz w:val="28"/>
    </w:rPr>
  </w:style>
  <w:style w:type="character" w:customStyle="1" w:styleId="Underline">
    <w:name w:val="Underline"/>
    <w:basedOn w:val="DefaultParagraphFont"/>
    <w:qFormat/>
    <w:rsid w:val="00B52906"/>
    <w:rPr>
      <w:u w:val="single"/>
    </w:rPr>
  </w:style>
  <w:style w:type="paragraph" w:styleId="BalloonText">
    <w:name w:val="Balloon Text"/>
    <w:basedOn w:val="Normal"/>
    <w:link w:val="BalloonTextChar"/>
    <w:rsid w:val="00B52906"/>
    <w:rPr>
      <w:rFonts w:ascii="Tahoma" w:hAnsi="Tahoma" w:cs="Tahoma"/>
      <w:sz w:val="16"/>
      <w:szCs w:val="16"/>
    </w:rPr>
  </w:style>
  <w:style w:type="character" w:customStyle="1" w:styleId="BalloonTextChar">
    <w:name w:val="Balloon Text Char"/>
    <w:basedOn w:val="DefaultParagraphFont"/>
    <w:link w:val="BalloonText"/>
    <w:rsid w:val="00B529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9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5798</Characters>
  <Application>Microsoft Office Word</Application>
  <DocSecurity>0</DocSecurity>
  <Lines>224</Lines>
  <Paragraphs>117</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PUADEFEO204C Examine and certify free from explosive ordnance</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2012-05-26T04:16:00Z</dcterms:created>
  <dcterms:modified xsi:type="dcterms:W3CDTF">2012-05-26T04:16:00Z</dcterms:modified>
</cp:coreProperties>
</file>