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459" w:rsidP="00246459">
      <w:pPr>
        <w:pStyle w:val="Title"/>
      </w:pPr>
      <w:r>
        <w:fldChar w:fldCharType="begin"/>
      </w:r>
      <w:r>
        <w:instrText xml:space="preserve"> TITLE   \* MERGEFORMAT </w:instrText>
      </w:r>
      <w:r>
        <w:fldChar w:fldCharType="separate"/>
      </w:r>
      <w:r>
        <w:t>PUADEFEO203C Dispose of non-explosive dangerous goods</w:t>
      </w:r>
      <w:r>
        <w:fldChar w:fldCharType="end"/>
      </w:r>
    </w:p>
    <w:p w:rsidR="00246459" w:rsidP="00246459">
      <w:pPr>
        <w:pStyle w:val="Version"/>
        <w:sectPr w:rsidSect="00B26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6A4E" w:rsidP="00B26A4E">
      <w:pPr>
        <w:pStyle w:val="SuperHeading"/>
      </w:pPr>
      <w:r w:rsidRPr="00B26A4E">
        <w:t>PUADEFEO203C Dispose of non-explosive dangerous goods</w:t>
      </w:r>
    </w:p>
    <w:p w:rsidR="00000000" w:rsidRPr="00B26A4E" w:rsidP="00B26A4E">
      <w:pPr>
        <w:pStyle w:val="SuperHeading"/>
      </w:pPr>
    </w:p>
    <w:p w:rsidR="00000000" w:rsidRPr="00B26A4E" w:rsidP="00B26A4E">
      <w:pPr>
        <w:pStyle w:val="Heading1"/>
      </w:pPr>
      <w:bookmarkStart w:id="1" w:name="O_120747"/>
      <w:bookmarkEnd w:id="1"/>
      <w:r w:rsidRPr="00B26A4E">
        <w:t>Modification History</w:t>
      </w:r>
    </w:p>
    <w:p w:rsidR="00000000" w:rsidRPr="00B26A4E" w:rsidP="00B26A4E">
      <w:pPr>
        <w:pStyle w:val="BodyText"/>
      </w:pPr>
      <w:r w:rsidRPr="00B26A4E">
        <w:t>Not applicable.</w:t>
      </w:r>
    </w:p>
    <w:p w:rsidR="00000000" w:rsidRPr="00B26A4E" w:rsidP="00B26A4E">
      <w:pPr>
        <w:pStyle w:val="AllowPageBreak"/>
      </w:pPr>
    </w:p>
    <w:p w:rsidR="00000000" w:rsidRPr="00B26A4E" w:rsidP="00B26A4E">
      <w:pPr>
        <w:pStyle w:val="Heading1"/>
      </w:pPr>
      <w:bookmarkStart w:id="2" w:name="O_120748"/>
      <w:bookmarkEnd w:id="2"/>
      <w:r w:rsidRPr="00B26A4E">
        <w:t>Unit Descriptor</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26A4E" w:rsidP="00B26A4E">
            <w:pPr>
              <w:pStyle w:val="BodyText"/>
            </w:pPr>
            <w:r w:rsidRPr="00B26A4E">
              <w:t>This unit covers the competency required to dispose of non-explosive dangerous goods using authori</w:t>
            </w:r>
            <w:r w:rsidRPr="00B26A4E">
              <w:t>sed disposal methods.</w:t>
            </w: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3" w:name="O_120749"/>
      <w:bookmarkEnd w:id="3"/>
      <w:r w:rsidRPr="00B26A4E">
        <w:t>Application of the Unit</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26A4E" w:rsidP="00B26A4E">
            <w:pPr>
              <w:pStyle w:val="BodyText"/>
            </w:pPr>
            <w:r w:rsidRPr="00B26A4E">
              <w:t xml:space="preserve">This competency normally applies to the individual who is required to dispose of non-explosive dangerous goods using authorised disposal methods, </w:t>
            </w:r>
            <w:r w:rsidRPr="00B26A4E">
              <w:t>including destruction and burning.</w:t>
            </w:r>
          </w:p>
          <w:p w:rsidR="00000000" w:rsidP="00B26A4E">
            <w:pPr>
              <w:pStyle w:val="BodyText"/>
              <w:rPr>
                <w:lang w:val="en-NZ"/>
              </w:rPr>
            </w:pPr>
            <w:r w:rsidRPr="00B26A4E">
              <w:t>Where disposal is by destruction or burning a licensed range is used.</w:t>
            </w:r>
          </w:p>
        </w:tc>
      </w:tr>
      <w:tr w:rsidTr="0024645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26A4E" w:rsidP="00B26A4E">
            <w:pPr>
              <w:pStyle w:val="BodyText"/>
            </w:pP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4" w:name="O_120750"/>
      <w:bookmarkEnd w:id="4"/>
      <w:r w:rsidRPr="00B26A4E">
        <w:t>Licensing/Regulatory Information</w:t>
      </w:r>
    </w:p>
    <w:p w:rsidR="00000000" w:rsidRPr="00B26A4E" w:rsidP="00B26A4E">
      <w:pPr>
        <w:pStyle w:val="BodyText"/>
      </w:pPr>
      <w:r w:rsidRPr="00B26A4E">
        <w:t>Not applicable.</w:t>
      </w:r>
    </w:p>
    <w:p w:rsidR="00000000" w:rsidRPr="00B26A4E" w:rsidP="00B26A4E">
      <w:pPr>
        <w:pStyle w:val="AllowPageBreak"/>
      </w:pPr>
    </w:p>
    <w:p w:rsidR="00000000" w:rsidRPr="00B26A4E" w:rsidP="00B26A4E">
      <w:pPr>
        <w:pStyle w:val="Heading1"/>
      </w:pPr>
      <w:bookmarkStart w:id="5" w:name="O_120752"/>
      <w:bookmarkEnd w:id="5"/>
      <w:r w:rsidRPr="00B26A4E">
        <w:t>Pre-Requisites</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Pre-requisite Unit</w:t>
            </w:r>
            <w:r w:rsidRPr="00B26A4E">
              <w:t>/</w:t>
            </w:r>
            <w:r w:rsidRPr="00B26A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26A4E" w:rsidP="00B26A4E">
            <w:pPr>
              <w:pStyle w:val="BodyText"/>
            </w:pPr>
            <w:r w:rsidRPr="00B26A4E">
              <w:t>Nil</w:t>
            </w: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6" w:name="O_120751"/>
      <w:bookmarkEnd w:id="6"/>
      <w:r w:rsidRPr="00B26A4E">
        <w:t>Employability Skills Information</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26A4E" w:rsidP="00B26A4E">
            <w:pPr>
              <w:pStyle w:val="BodyText"/>
            </w:pPr>
            <w:r w:rsidRPr="00B26A4E">
              <w:t>This unit contains employability skills.</w:t>
            </w: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7" w:name="O_120753"/>
      <w:bookmarkEnd w:id="7"/>
      <w:r w:rsidRPr="00B26A4E">
        <w:t>Elements and Performance Criteria Pre-Content</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 xml:space="preserve">Performance Criteria describe </w:t>
            </w:r>
            <w:r w:rsidRPr="00B26A4E">
              <w:t>the required performance needed to demonstrate achievement of the element. Where bold italicised text is used, further information is detailed in the Required Skills and Knowledge and/or the Range Statement. Assessment of performance is to be consistent wi</w:t>
            </w:r>
            <w:r w:rsidRPr="00B26A4E">
              <w:t>th the Evidence Guide.</w:t>
            </w: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8" w:name="O_120754"/>
      <w:bookmarkEnd w:id="8"/>
      <w:r w:rsidRPr="00B26A4E">
        <w:t>Elements and Performance Criteria</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26A4E" w:rsidP="00B26A4E">
            <w:pPr>
              <w:pStyle w:val="BodyText"/>
            </w:pPr>
            <w:r w:rsidRPr="00B26A4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PERFORMANCE CRITERIA</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List"/>
              <w:rPr>
                <w:lang w:val="en-NZ"/>
              </w:rPr>
            </w:pPr>
            <w:r w:rsidRPr="00B26A4E">
              <w:t>1.</w:t>
            </w:r>
            <w:r w:rsidRPr="00B26A4E">
              <w:tab/>
            </w:r>
            <w:r w:rsidRPr="00B26A4E">
              <w:rPr>
                <w:rStyle w:val="SpecialBold"/>
              </w:rPr>
              <w:t>Prepare for disposal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List2"/>
            </w:pPr>
            <w:r w:rsidRPr="00B26A4E">
              <w:t>1.1</w:t>
            </w:r>
            <w:r w:rsidRPr="00B26A4E">
              <w:tab/>
              <w:t xml:space="preserve">Requirement for disposal of </w:t>
            </w:r>
            <w:r w:rsidRPr="00B26A4E">
              <w:rPr>
                <w:rStyle w:val="BoldandItalics"/>
              </w:rPr>
              <w:t>non</w:t>
            </w:r>
            <w:r w:rsidRPr="00B26A4E">
              <w:t>-</w:t>
            </w:r>
            <w:r w:rsidRPr="00B26A4E">
              <w:rPr>
                <w:rStyle w:val="BoldandItalics"/>
              </w:rPr>
              <w:t>explosive dangerous goods</w:t>
            </w:r>
            <w:r w:rsidRPr="00B26A4E">
              <w:t xml:space="preserve"> is identified from work requests/instructions and confirmed</w:t>
            </w:r>
          </w:p>
          <w:p w:rsidR="00000000" w:rsidRPr="00B26A4E" w:rsidP="00B26A4E">
            <w:pPr>
              <w:pStyle w:val="List2"/>
            </w:pPr>
            <w:r w:rsidRPr="00B26A4E">
              <w:t>1.2</w:t>
            </w:r>
            <w:r w:rsidRPr="00B26A4E">
              <w:tab/>
            </w:r>
            <w:r w:rsidRPr="00B26A4E">
              <w:t xml:space="preserve">Occupational health and safety requirements including those contained in </w:t>
            </w:r>
            <w:r w:rsidRPr="00B26A4E">
              <w:rPr>
                <w:rStyle w:val="BoldandItalics"/>
              </w:rPr>
              <w:t>organisational</w:t>
            </w:r>
            <w:r w:rsidRPr="00B26A4E">
              <w:t xml:space="preserve"> procedures, are applied throughout the disposal operation</w:t>
            </w:r>
          </w:p>
          <w:p w:rsidR="00000000" w:rsidRPr="00B26A4E" w:rsidP="00B26A4E">
            <w:pPr>
              <w:pStyle w:val="List2"/>
            </w:pPr>
            <w:r w:rsidRPr="00B26A4E">
              <w:t>1.3</w:t>
            </w:r>
            <w:r w:rsidRPr="00B26A4E">
              <w:tab/>
              <w:t xml:space="preserve">Non-explosive dangerous goods to be disposed of and </w:t>
            </w:r>
            <w:r w:rsidRPr="00B26A4E">
              <w:rPr>
                <w:rStyle w:val="BoldandItalics"/>
              </w:rPr>
              <w:t>disposal method</w:t>
            </w:r>
            <w:r w:rsidRPr="00B26A4E">
              <w:t xml:space="preserve"> are confirmed in accordance with organ</w:t>
            </w:r>
            <w:r w:rsidRPr="00B26A4E">
              <w:t>isational policy and legislative requirements</w:t>
            </w:r>
          </w:p>
          <w:p w:rsidR="00000000" w:rsidRPr="00B26A4E" w:rsidP="00B26A4E">
            <w:pPr>
              <w:pStyle w:val="List2"/>
            </w:pPr>
            <w:r w:rsidRPr="00B26A4E">
              <w:t>1.4</w:t>
            </w:r>
            <w:r w:rsidRPr="00B26A4E">
              <w:tab/>
            </w:r>
            <w:r w:rsidRPr="00B26A4E">
              <w:rPr>
                <w:rStyle w:val="BoldandItalics"/>
              </w:rPr>
              <w:t>Documentation and instructions</w:t>
            </w:r>
            <w:r w:rsidRPr="00B26A4E">
              <w:t xml:space="preserve"> are developed in accordance with statutory, organisational requirements and Range Standing Orders</w:t>
            </w:r>
          </w:p>
          <w:p w:rsidR="00000000" w:rsidRPr="00B26A4E" w:rsidP="00B26A4E">
            <w:pPr>
              <w:pStyle w:val="List2"/>
            </w:pPr>
            <w:r w:rsidRPr="00B26A4E">
              <w:t>1.5</w:t>
            </w:r>
            <w:r w:rsidRPr="00B26A4E">
              <w:tab/>
              <w:t>Liaison and notification of parties affected by the disposal is undertake</w:t>
            </w:r>
            <w:r w:rsidRPr="00B26A4E">
              <w:t>n in accordance with organisational policy and procedures and Range Standing Orders</w:t>
            </w:r>
          </w:p>
          <w:p w:rsidR="00000000" w:rsidP="00B26A4E">
            <w:pPr>
              <w:pStyle w:val="List2"/>
              <w:rPr>
                <w:lang w:val="en-NZ"/>
              </w:rPr>
            </w:pPr>
            <w:r w:rsidRPr="00B26A4E">
              <w:t>1.6</w:t>
            </w:r>
            <w:r w:rsidRPr="00B26A4E">
              <w:tab/>
              <w:t>Disposal preparation is completed in accordance with organisational policy and procedures, Range Standing Orders and legislative requirements</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26A4E">
            <w:pPr>
              <w:pStyle w:val="BodyText"/>
              <w:rPr>
                <w:lang w:val="en-NZ"/>
              </w:rPr>
            </w:pP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List"/>
              <w:rPr>
                <w:lang w:val="en-NZ"/>
              </w:rPr>
            </w:pPr>
            <w:r w:rsidRPr="00B26A4E">
              <w:t>2.</w:t>
            </w:r>
            <w:r w:rsidRPr="00B26A4E">
              <w:tab/>
            </w:r>
            <w:r w:rsidRPr="00B26A4E">
              <w:rPr>
                <w:rStyle w:val="SpecialBold"/>
              </w:rPr>
              <w:t>Dispose of non-expl</w:t>
            </w:r>
            <w:r w:rsidRPr="00B26A4E">
              <w:rPr>
                <w:rStyle w:val="SpecialBold"/>
              </w:rPr>
              <w:t>osive dangerous goods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List2"/>
            </w:pPr>
            <w:r w:rsidRPr="00B26A4E">
              <w:t>2.1</w:t>
            </w:r>
            <w:r w:rsidRPr="00B26A4E">
              <w:tab/>
              <w:t xml:space="preserve">Non-explosive dangerous goods and disposal means are prepared and </w:t>
            </w:r>
            <w:r w:rsidRPr="00B26A4E">
              <w:rPr>
                <w:rStyle w:val="BoldandItalics"/>
              </w:rPr>
              <w:t>tested</w:t>
            </w:r>
            <w:r w:rsidRPr="00B26A4E">
              <w:t xml:space="preserve"> in accordance with organisational policy and Range Standing Orders</w:t>
            </w:r>
          </w:p>
          <w:p w:rsidR="00000000" w:rsidRPr="00B26A4E" w:rsidP="00B26A4E">
            <w:pPr>
              <w:pStyle w:val="List2"/>
            </w:pPr>
            <w:r w:rsidRPr="00B26A4E">
              <w:t>2.2</w:t>
            </w:r>
            <w:r w:rsidRPr="00B26A4E">
              <w:tab/>
              <w:t>Non-explosive dangerous goods are disposed of/destroyed</w:t>
            </w:r>
          </w:p>
          <w:p w:rsidR="00000000" w:rsidRPr="00B26A4E" w:rsidP="00B26A4E">
            <w:pPr>
              <w:pStyle w:val="List2"/>
            </w:pPr>
            <w:r w:rsidRPr="00B26A4E">
              <w:t>2.3</w:t>
            </w:r>
            <w:r w:rsidRPr="00B26A4E">
              <w:tab/>
              <w:t xml:space="preserve">Emergency and contingency </w:t>
            </w:r>
            <w:r w:rsidRPr="00B26A4E">
              <w:t>procedures are applied in accordance with organisational policy and Range Standing Orders</w:t>
            </w:r>
          </w:p>
          <w:p w:rsidR="00000000" w:rsidP="00B26A4E">
            <w:pPr>
              <w:pStyle w:val="List2"/>
              <w:rPr>
                <w:lang w:val="en-NZ"/>
              </w:rPr>
            </w:pPr>
            <w:r w:rsidRPr="00B26A4E">
              <w:t>2.4</w:t>
            </w:r>
            <w:r w:rsidRPr="00B26A4E">
              <w:tab/>
              <w:t>Residue is inspected to ensure all items have been disposed of/destroyed in accordance with organisational policy, Range Standing Orders and legislative requireme</w:t>
            </w:r>
            <w:r w:rsidRPr="00B26A4E">
              <w:t>nts</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26A4E">
            <w:pPr>
              <w:pStyle w:val="BodyText"/>
              <w:rPr>
                <w:lang w:val="en-NZ"/>
              </w:rPr>
            </w:pP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List"/>
              <w:rPr>
                <w:lang w:val="en-NZ"/>
              </w:rPr>
            </w:pPr>
            <w:r w:rsidRPr="00B26A4E">
              <w:t>3.</w:t>
            </w:r>
            <w:r w:rsidRPr="00B26A4E">
              <w:tab/>
            </w:r>
            <w:r w:rsidRPr="00B26A4E">
              <w:rPr>
                <w:rStyle w:val="SpecialBold"/>
              </w:rPr>
              <w:t>Finalise the destruction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List2"/>
            </w:pPr>
            <w:r w:rsidRPr="00B26A4E">
              <w:t>3.1</w:t>
            </w:r>
            <w:r w:rsidRPr="00B26A4E">
              <w:tab/>
              <w:t>Site/equipment is maintained and/or refurbished in accordance with organisational policy and procedures, and Range Standing Orders</w:t>
            </w:r>
          </w:p>
          <w:p w:rsidR="00000000" w:rsidP="00B26A4E">
            <w:pPr>
              <w:pStyle w:val="List2"/>
              <w:rPr>
                <w:lang w:val="en-NZ"/>
              </w:rPr>
            </w:pPr>
            <w:r w:rsidRPr="00B26A4E">
              <w:t>3.2</w:t>
            </w:r>
            <w:r w:rsidRPr="00B26A4E">
              <w:tab/>
              <w:t xml:space="preserve">Documentation and records </w:t>
            </w:r>
            <w:r w:rsidRPr="00B26A4E">
              <w:t>are maintained in accordance with statutory, organisational requirements and Range Standing Orders</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9" w:name="O_120755"/>
      <w:bookmarkEnd w:id="9"/>
      <w:r w:rsidRPr="00B26A4E">
        <w:t>Required Skills and Knowledge</w:t>
      </w:r>
    </w:p>
    <w:tbl>
      <w:tblPr>
        <w:tblW w:w="0" w:type="auto"/>
        <w:tblLayout w:type="fixed"/>
        <w:tblCellMar>
          <w:left w:w="62" w:type="dxa"/>
          <w:right w:w="62" w:type="dxa"/>
        </w:tblCellMar>
        <w:tblLook w:val="0000"/>
      </w:tblPr>
      <w:tblGrid>
        <w:gridCol w:w="8640"/>
      </w:tblGrid>
      <w:tr w:rsidTr="0024645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REQUIRED SKILLS AND KNOWLEDGE</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t>This describes the essential skills and knowledge and their level, required for this unit.</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Required Skills</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6A4E" w:rsidP="00B26A4E">
            <w:pPr>
              <w:pStyle w:val="ListBullet"/>
            </w:pPr>
            <w:r w:rsidRPr="00B26A4E">
              <w:t>apply operational safety</w:t>
            </w:r>
          </w:p>
          <w:p w:rsidR="00000000" w:rsidRPr="00B26A4E" w:rsidP="00B26A4E">
            <w:pPr>
              <w:pStyle w:val="ListBullet"/>
            </w:pPr>
            <w:r w:rsidRPr="00B26A4E">
              <w:t>conduct site preparation and refurbishment</w:t>
            </w:r>
          </w:p>
          <w:p w:rsidR="00000000" w:rsidRPr="00B26A4E" w:rsidP="00B26A4E">
            <w:pPr>
              <w:pStyle w:val="ListBullet"/>
            </w:pPr>
            <w:r w:rsidRPr="00B26A4E">
              <w:t>dispose of non-explosive dangerous goods</w:t>
            </w:r>
          </w:p>
          <w:p w:rsidR="00000000" w:rsidRPr="00B26A4E" w:rsidP="00B26A4E">
            <w:pPr>
              <w:pStyle w:val="ListBullet"/>
            </w:pPr>
            <w:r w:rsidRPr="00B26A4E">
              <w:t>inspect the residue</w:t>
            </w:r>
          </w:p>
          <w:p w:rsidR="00000000" w:rsidRPr="00B26A4E" w:rsidP="00B26A4E">
            <w:pPr>
              <w:pStyle w:val="ListBullet"/>
            </w:pPr>
            <w:r w:rsidRPr="00B26A4E">
              <w:t>maintain document</w:t>
            </w:r>
            <w:r w:rsidRPr="00B26A4E">
              <w:t>ation</w:t>
            </w:r>
          </w:p>
          <w:p w:rsidR="00000000" w:rsidP="00B26A4E">
            <w:pPr>
              <w:pStyle w:val="ListBullet"/>
              <w:rPr>
                <w:lang w:val="en-NZ"/>
              </w:rPr>
            </w:pPr>
            <w:r w:rsidRPr="00B26A4E">
              <w:t>read, access, interpret and apply technical instructions related to the disposal of non-explosive dangerous goods</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Required Knowledge</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6A4E" w:rsidP="00B26A4E">
            <w:pPr>
              <w:pStyle w:val="ListBullet"/>
            </w:pPr>
            <w:r w:rsidRPr="00B26A4E">
              <w:t>characteristics and limitations of non-explosive dangerous goods to be disposed</w:t>
            </w:r>
          </w:p>
          <w:p w:rsidR="00000000" w:rsidRPr="00B26A4E" w:rsidP="00B26A4E">
            <w:pPr>
              <w:pStyle w:val="ListBullet"/>
            </w:pPr>
            <w:r w:rsidRPr="00B26A4E">
              <w:t>disposal procedures and requirements</w:t>
            </w:r>
          </w:p>
          <w:p w:rsidR="00000000" w:rsidRPr="00B26A4E" w:rsidP="00B26A4E">
            <w:pPr>
              <w:pStyle w:val="ListBullet"/>
            </w:pPr>
            <w:r w:rsidRPr="00B26A4E">
              <w:t>documentation requirements</w:t>
            </w:r>
          </w:p>
          <w:p w:rsidR="00000000" w:rsidRPr="00B26A4E" w:rsidP="00B26A4E">
            <w:pPr>
              <w:pStyle w:val="ListBullet"/>
            </w:pPr>
            <w:r w:rsidRPr="00B26A4E">
              <w:t>emergency and contingency procedures</w:t>
            </w:r>
          </w:p>
          <w:p w:rsidR="00000000" w:rsidRPr="00B26A4E" w:rsidP="00B26A4E">
            <w:pPr>
              <w:pStyle w:val="ListBullet"/>
            </w:pPr>
            <w:r w:rsidRPr="00B26A4E">
              <w:t>operational safety</w:t>
            </w:r>
          </w:p>
          <w:p w:rsidR="00000000" w:rsidRPr="00B26A4E" w:rsidP="00B26A4E">
            <w:pPr>
              <w:pStyle w:val="ListBullet"/>
            </w:pPr>
            <w:r w:rsidRPr="00B26A4E">
              <w:t>site preparation and refurbishment requirements</w:t>
            </w:r>
          </w:p>
          <w:p w:rsidR="00000000" w:rsidP="00B26A4E">
            <w:pPr>
              <w:pStyle w:val="ListBullet"/>
              <w:rPr>
                <w:lang w:val="en-NZ"/>
              </w:rPr>
            </w:pPr>
            <w:r w:rsidRPr="00B26A4E">
              <w:t>relevant testing procedures</w:t>
            </w:r>
          </w:p>
        </w:tc>
      </w:tr>
      <w:tr w:rsidTr="0024645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26A4E" w:rsidP="00B26A4E">
            <w:pPr>
              <w:pStyle w:val="BodyText"/>
            </w:pP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10" w:name="O_120756"/>
      <w:bookmarkEnd w:id="10"/>
      <w:r w:rsidRPr="00B26A4E">
        <w:t>Evidence Guide</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26A4E">
            <w:pPr>
              <w:pStyle w:val="BodyText"/>
              <w:rPr>
                <w:lang w:val="en-NZ"/>
              </w:rPr>
            </w:pPr>
          </w:p>
        </w:tc>
      </w:tr>
      <w:tr w:rsidTr="0024645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t>The evidence guide provides advice on assessment and must be read in conjunction with the Performance Criteria, Required Skills and Knowledge, the Range Statement and the Assessment Guidelines for this Training Package.</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Critical aspects for assessment an</w:t>
            </w:r>
            <w:r w:rsidRPr="00B26A4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Assessment must confirm the ability to:</w:t>
            </w:r>
          </w:p>
          <w:p w:rsidR="00000000" w:rsidRPr="00B26A4E" w:rsidP="00B26A4E">
            <w:pPr>
              <w:pStyle w:val="ListBullet"/>
            </w:pPr>
            <w:r w:rsidRPr="00B26A4E">
              <w:t>adhere to operational safety requirements, including risk analysis</w:t>
            </w:r>
          </w:p>
          <w:p w:rsidR="00000000" w:rsidRPr="00B26A4E" w:rsidP="00B26A4E">
            <w:pPr>
              <w:pStyle w:val="ListBullet"/>
            </w:pPr>
            <w:r w:rsidRPr="00B26A4E">
              <w:t>prepare instructions and documentation</w:t>
            </w:r>
          </w:p>
          <w:p w:rsidR="00000000" w:rsidRPr="00B26A4E" w:rsidP="00B26A4E">
            <w:pPr>
              <w:pStyle w:val="ListBullet"/>
            </w:pPr>
            <w:r w:rsidRPr="00B26A4E">
              <w:t>prepare for disposal</w:t>
            </w:r>
          </w:p>
          <w:p w:rsidR="00000000" w:rsidRPr="00B26A4E" w:rsidP="00B26A4E">
            <w:pPr>
              <w:pStyle w:val="ListBullet"/>
            </w:pPr>
            <w:r w:rsidRPr="00B26A4E">
              <w:t>dispose of non-explosive goods</w:t>
            </w:r>
          </w:p>
          <w:p w:rsidR="00000000" w:rsidRPr="00B26A4E" w:rsidP="00B26A4E">
            <w:pPr>
              <w:pStyle w:val="ListBullet"/>
            </w:pPr>
            <w:r w:rsidRPr="00B26A4E">
              <w:t>apply emergency and contingency procedures</w:t>
            </w:r>
          </w:p>
          <w:p w:rsidR="00000000" w:rsidRPr="00B26A4E" w:rsidP="00B26A4E">
            <w:pPr>
              <w:pStyle w:val="ListBullet"/>
            </w:pPr>
            <w:r w:rsidRPr="00B26A4E">
              <w:t>inspect residue</w:t>
            </w:r>
          </w:p>
          <w:p w:rsidR="00000000" w:rsidRPr="00B26A4E" w:rsidP="00B26A4E">
            <w:pPr>
              <w:pStyle w:val="ListBullet"/>
            </w:pPr>
            <w:r w:rsidRPr="00B26A4E">
              <w:t>maintain documentation.</w:t>
            </w:r>
          </w:p>
          <w:p w:rsidR="00000000" w:rsidRPr="00B26A4E" w:rsidP="00B26A4E">
            <w:pPr>
              <w:pStyle w:val="BodyText"/>
            </w:pPr>
            <w:r w:rsidRPr="00B26A4E">
              <w:t>Assessment must also confirm that disposal is performed in a manner that maximises individual safety and the safety of others.</w:t>
            </w:r>
          </w:p>
          <w:p w:rsidR="00000000" w:rsidRPr="00B26A4E" w:rsidP="00B26A4E">
            <w:pPr>
              <w:pStyle w:val="BodyText"/>
            </w:pPr>
            <w:r w:rsidRPr="00B26A4E">
              <w:rPr>
                <w:rStyle w:val="SpecialBold"/>
              </w:rPr>
              <w:t xml:space="preserve">Consistency in </w:t>
            </w:r>
            <w:r w:rsidRPr="00B26A4E">
              <w:rPr>
                <w:rStyle w:val="SpecialBold"/>
              </w:rPr>
              <w:t>performance</w:t>
            </w:r>
          </w:p>
          <w:p w:rsidR="00000000" w:rsidP="00B26A4E">
            <w:pPr>
              <w:pStyle w:val="BodyText"/>
              <w:rPr>
                <w:lang w:val="en-NZ"/>
              </w:rPr>
            </w:pPr>
            <w:r w:rsidRPr="00B26A4E">
              <w:t>Competency should be demonstrated in a range of actual or simulated explosive ordnance contexts.</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26A4E">
            <w:pPr>
              <w:pStyle w:val="BodyText"/>
              <w:rPr>
                <w:lang w:val="en-NZ"/>
              </w:rPr>
            </w:pP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26A4E" w:rsidP="00B26A4E">
            <w:pPr>
              <w:pStyle w:val="BodyText"/>
            </w:pPr>
            <w:r w:rsidRPr="00B26A4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rPr>
                <w:rStyle w:val="SpecialBold"/>
              </w:rPr>
              <w:t>Context of assessment</w:t>
            </w:r>
          </w:p>
          <w:p w:rsidR="00000000" w:rsidRPr="00B26A4E" w:rsidP="00B26A4E">
            <w:pPr>
              <w:pStyle w:val="BodyText"/>
            </w:pPr>
            <w:r w:rsidRPr="00B26A4E">
              <w:t>Competency should be assessed in the workplace or un</w:t>
            </w:r>
            <w:r w:rsidRPr="00B26A4E">
              <w:t>der conditions which accurately simulate a realistic workplace in accordance with all relevant legislation and organisational requirements.</w:t>
            </w:r>
          </w:p>
          <w:p w:rsidR="00000000" w:rsidRPr="00B26A4E" w:rsidP="00B26A4E">
            <w:pPr>
              <w:pStyle w:val="BodyText"/>
            </w:pPr>
            <w:r w:rsidRPr="00B26A4E">
              <w:rPr>
                <w:rStyle w:val="SpecialBold"/>
              </w:rPr>
              <w:t>Specific resources for assessment</w:t>
            </w:r>
          </w:p>
          <w:p w:rsidR="00000000" w:rsidRPr="00B26A4E" w:rsidP="00B26A4E">
            <w:pPr>
              <w:pStyle w:val="BodyText"/>
            </w:pPr>
            <w:r w:rsidRPr="00B26A4E">
              <w:t>Access is required to:</w:t>
            </w:r>
          </w:p>
          <w:p w:rsidR="00000000" w:rsidP="00B26A4E">
            <w:pPr>
              <w:pStyle w:val="ListBullet"/>
              <w:rPr>
                <w:lang w:val="en-NZ"/>
              </w:rPr>
            </w:pPr>
            <w:r w:rsidRPr="00B26A4E">
              <w:t>facilities and resources used in the packaging, storage, d</w:t>
            </w:r>
            <w:r w:rsidRPr="00B26A4E">
              <w:t>istribution and maintenance of explosive ordnance, including a licensed explosive site and may require access to a licensed range.</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26A4E">
            <w:pPr>
              <w:pStyle w:val="BodyText"/>
              <w:rPr>
                <w:lang w:val="en-NZ"/>
              </w:rPr>
            </w:pP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Method of assessment</w:t>
            </w:r>
            <w:r w:rsidRPr="00B26A4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This unit may be assessed with the following unit:</w:t>
            </w:r>
          </w:p>
          <w:p w:rsidR="00000000" w:rsidRPr="00B26A4E" w:rsidP="00B26A4E">
            <w:pPr>
              <w:pStyle w:val="ListBullet"/>
            </w:pPr>
            <w:r w:rsidRPr="00B26A4E">
              <w:t>PUADEFEO101D Work safely with explosive ordnance.</w:t>
            </w:r>
          </w:p>
          <w:p w:rsidR="00000000" w:rsidRPr="00B26A4E" w:rsidP="00B26A4E">
            <w:pPr>
              <w:pStyle w:val="BodyText"/>
            </w:pPr>
            <w:r w:rsidRPr="00B26A4E">
              <w:t>In a public safety environment assessment is usually conducted via direct observation in a training environment or in the workplace via subject matter supervision and/or mentoring, which is typically record</w:t>
            </w:r>
            <w:r w:rsidRPr="00B26A4E">
              <w:t>ed in a competency workbook.</w:t>
            </w:r>
          </w:p>
          <w:p w:rsidR="00000000" w:rsidRPr="00B26A4E" w:rsidP="00B26A4E">
            <w:pPr>
              <w:pStyle w:val="BodyText"/>
            </w:pPr>
            <w:r w:rsidRPr="00B26A4E">
              <w:t>Assessment is completed using appropriately qualified assessors who select the most appropriate method of assessment.</w:t>
            </w:r>
          </w:p>
          <w:p w:rsidR="00000000" w:rsidRPr="00B26A4E" w:rsidP="00B26A4E">
            <w:pPr>
              <w:pStyle w:val="BodyText"/>
            </w:pPr>
            <w:r w:rsidRPr="00B26A4E">
              <w:t>Assessment may occur in an operational environment or in an industry-approved simulated work environment. For</w:t>
            </w:r>
            <w:r w:rsidRPr="00B26A4E">
              <w:t>ms of assessment that are typically used include:</w:t>
            </w:r>
          </w:p>
          <w:p w:rsidR="00000000" w:rsidRPr="00B26A4E" w:rsidP="00B26A4E">
            <w:pPr>
              <w:pStyle w:val="ListBullet"/>
            </w:pPr>
            <w:r w:rsidRPr="00B26A4E">
              <w:t>direct observation</w:t>
            </w:r>
          </w:p>
          <w:p w:rsidR="00000000" w:rsidRPr="00B26A4E" w:rsidP="00B26A4E">
            <w:pPr>
              <w:pStyle w:val="ListBullet"/>
            </w:pPr>
            <w:r w:rsidRPr="00B26A4E">
              <w:t>interviewing the candidate</w:t>
            </w:r>
          </w:p>
          <w:p w:rsidR="00000000" w:rsidRPr="00B26A4E" w:rsidP="00B26A4E">
            <w:pPr>
              <w:pStyle w:val="ListBullet"/>
            </w:pPr>
            <w:r w:rsidRPr="00B26A4E">
              <w:t>journals and workplace documentation</w:t>
            </w:r>
          </w:p>
          <w:p w:rsidR="00000000" w:rsidRPr="00B26A4E" w:rsidP="00B26A4E">
            <w:pPr>
              <w:pStyle w:val="ListBullet"/>
            </w:pPr>
            <w:r w:rsidRPr="00B26A4E">
              <w:t>third party reports from supervisors</w:t>
            </w:r>
          </w:p>
          <w:p w:rsidR="00000000" w:rsidRPr="00B26A4E" w:rsidP="00B26A4E">
            <w:pPr>
              <w:pStyle w:val="ListBullet"/>
            </w:pPr>
            <w:r w:rsidRPr="00B26A4E">
              <w:t>written or oral questions.</w:t>
            </w: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11" w:name="O_120757"/>
      <w:bookmarkEnd w:id="11"/>
      <w:r w:rsidRPr="00B26A4E">
        <w:t>Range Statement</w:t>
      </w:r>
    </w:p>
    <w:tbl>
      <w:tblPr>
        <w:tblW w:w="0" w:type="auto"/>
        <w:tblLayout w:type="fixed"/>
        <w:tblCellMar>
          <w:left w:w="62" w:type="dxa"/>
          <w:right w:w="62" w:type="dxa"/>
        </w:tblCellMar>
        <w:tblLook w:val="0000"/>
      </w:tblPr>
      <w:tblGrid>
        <w:gridCol w:w="3060"/>
        <w:gridCol w:w="5580"/>
      </w:tblGrid>
      <w:tr w:rsidTr="0024645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rPr>
                <w:rStyle w:val="SpecialBold"/>
              </w:rPr>
              <w:t>RANGE STATEMENT</w:t>
            </w:r>
          </w:p>
        </w:tc>
      </w:tr>
      <w:tr w:rsidTr="0024645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26A4E">
            <w:pPr>
              <w:pStyle w:val="BodyText"/>
              <w:rPr>
                <w:lang w:val="en-NZ"/>
              </w:rPr>
            </w:pPr>
            <w:r w:rsidRPr="00B26A4E">
              <w:t xml:space="preserve">The Range Statement relates to the Unit of Competency as a whole. It allows for different work environments and situations that may affect performance. </w:t>
            </w:r>
            <w:r w:rsidRPr="00B26A4E">
              <w:rPr>
                <w:rStyle w:val="BoldandItalics"/>
              </w:rPr>
              <w:t>Bold italicised</w:t>
            </w:r>
            <w:r w:rsidRPr="00B26A4E">
              <w:t xml:space="preserve"> wording in the Performance Criteria is detailed below.</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Non-explosive dangerous goods m</w:t>
            </w:r>
            <w:r w:rsidRPr="00B26A4E">
              <w:rPr>
                <w:rStyle w:val="SpecialBold"/>
              </w:rPr>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B26A4E">
            <w:pPr>
              <w:pStyle w:val="BodyText"/>
              <w:rPr>
                <w:lang w:val="en-NZ"/>
              </w:rPr>
            </w:pPr>
            <w:r w:rsidRPr="00B26A4E">
              <w:t xml:space="preserve">Items in common use by Defence that are dangerous goods from Classes 2-9 </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Defence organisation</w:t>
            </w:r>
          </w:p>
          <w:p w:rsidR="00000000" w:rsidRPr="00B26A4E" w:rsidP="00B26A4E">
            <w:pPr>
              <w:pStyle w:val="BodyText"/>
            </w:pPr>
            <w:r w:rsidRPr="00B26A4E">
              <w:t xml:space="preserve">Enterprises that work with explosive ordnance </w:t>
            </w:r>
          </w:p>
          <w:p w:rsidR="00000000" w:rsidP="00B26A4E">
            <w:pPr>
              <w:pStyle w:val="BodyText"/>
              <w:rPr>
                <w:lang w:val="en-NZ"/>
              </w:rPr>
            </w:pPr>
            <w:r w:rsidRPr="00B26A4E">
              <w:t>Other government departments or instrumentalities that work with explosive ordnance</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Disposal methods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Burning</w:t>
            </w:r>
          </w:p>
          <w:p w:rsidR="00000000" w:rsidRPr="00B26A4E" w:rsidP="00B26A4E">
            <w:pPr>
              <w:pStyle w:val="BodyText"/>
            </w:pPr>
            <w:r w:rsidRPr="00B26A4E">
              <w:t>Destruction</w:t>
            </w:r>
          </w:p>
          <w:p w:rsidR="00000000" w:rsidRPr="00B26A4E" w:rsidP="00B26A4E">
            <w:pPr>
              <w:pStyle w:val="BodyText"/>
            </w:pPr>
            <w:r w:rsidRPr="00B26A4E">
              <w:t>Functioning</w:t>
            </w:r>
          </w:p>
          <w:p w:rsidR="00000000" w:rsidRPr="00B26A4E" w:rsidP="00B26A4E">
            <w:pPr>
              <w:pStyle w:val="BodyText"/>
            </w:pPr>
            <w:r w:rsidRPr="00B26A4E">
              <w:t>Mutilation</w:t>
            </w:r>
          </w:p>
          <w:p w:rsidR="00000000" w:rsidP="00B26A4E">
            <w:pPr>
              <w:pStyle w:val="BodyText"/>
              <w:rPr>
                <w:lang w:val="en-NZ"/>
              </w:rPr>
            </w:pPr>
            <w:r w:rsidRPr="00B26A4E">
              <w:t>Neutralisation</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Documentation and instructions to be developed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Risk analysis</w:t>
            </w:r>
          </w:p>
          <w:p w:rsidR="00000000" w:rsidP="00B26A4E">
            <w:pPr>
              <w:pStyle w:val="BodyText"/>
              <w:rPr>
                <w:lang w:val="en-NZ"/>
              </w:rPr>
            </w:pPr>
            <w:r w:rsidRPr="00B26A4E">
              <w:t>Range inst</w:t>
            </w:r>
            <w:r w:rsidRPr="00B26A4E">
              <w:t>ructions</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26A4E">
            <w:pPr>
              <w:pStyle w:val="BodyText"/>
              <w:rPr>
                <w:lang w:val="en-NZ"/>
              </w:rPr>
            </w:pPr>
            <w:r w:rsidRPr="00B26A4E">
              <w:rPr>
                <w:rStyle w:val="SpecialBold"/>
              </w:rPr>
              <w:t>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r w:rsidRPr="00B26A4E">
              <w:t>Continuity tests on electric detonators</w:t>
            </w:r>
          </w:p>
          <w:p w:rsidR="00000000" w:rsidRPr="00B26A4E" w:rsidP="00B26A4E">
            <w:pPr>
              <w:pStyle w:val="BodyText"/>
            </w:pPr>
            <w:r w:rsidRPr="00B26A4E">
              <w:t>Continuity tests on firing cables</w:t>
            </w:r>
          </w:p>
          <w:p w:rsidR="00000000" w:rsidRPr="00B26A4E" w:rsidP="00B26A4E">
            <w:pPr>
              <w:pStyle w:val="BodyText"/>
            </w:pPr>
            <w:r w:rsidRPr="00B26A4E">
              <w:t>Discontinuity tests on firing cables</w:t>
            </w:r>
          </w:p>
          <w:p w:rsidR="00000000" w:rsidRPr="00B26A4E" w:rsidP="00B26A4E">
            <w:pPr>
              <w:pStyle w:val="BodyText"/>
            </w:pPr>
            <w:r w:rsidRPr="00B26A4E">
              <w:t>Resistance tests on firing cables</w:t>
            </w:r>
          </w:p>
          <w:p w:rsidR="00000000" w:rsidP="00B26A4E">
            <w:pPr>
              <w:pStyle w:val="BodyText"/>
              <w:rPr>
                <w:lang w:val="en-NZ"/>
              </w:rPr>
            </w:pPr>
            <w:r w:rsidRPr="00B26A4E">
              <w:t>Safety fuse</w:t>
            </w:r>
          </w:p>
        </w:tc>
      </w:tr>
      <w:tr w:rsidTr="0024645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26A4E" w:rsidP="00B26A4E">
            <w:pPr>
              <w:pStyle w:val="BodyText"/>
            </w:pPr>
          </w:p>
        </w:tc>
      </w:tr>
    </w:tbl>
    <w:p w:rsidR="00000000" w:rsidRPr="00B26A4E" w:rsidP="00B26A4E">
      <w:pPr>
        <w:pStyle w:val="BodyText"/>
      </w:pPr>
    </w:p>
    <w:p w:rsidR="00000000" w:rsidRPr="00B26A4E" w:rsidP="00B26A4E">
      <w:pPr>
        <w:pStyle w:val="AllowPageBreak"/>
      </w:pPr>
    </w:p>
    <w:p w:rsidR="00000000" w:rsidRPr="00B26A4E" w:rsidP="00B26A4E">
      <w:pPr>
        <w:pStyle w:val="Heading1"/>
      </w:pPr>
      <w:bookmarkStart w:id="12" w:name="O_120758"/>
      <w:bookmarkEnd w:id="12"/>
      <w:r w:rsidRPr="00B26A4E">
        <w:t>Unit Sector(s)</w:t>
      </w:r>
    </w:p>
    <w:p w:rsidR="00000000" w:rsidRPr="00B26A4E" w:rsidP="00B26A4E">
      <w:pPr>
        <w:pStyle w:val="BodyText"/>
      </w:pPr>
      <w:r w:rsidRPr="00B26A4E">
        <w:t>Not applicable.</w:t>
      </w:r>
    </w:p>
    <w:p w:rsidR="00000000" w:rsidRPr="00B26A4E" w:rsidP="00B26A4E"/>
    <w:sectPr w:rsidSect="00B26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459" w:rsidP="00246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59" w:rsidP="00B26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6459" w:rsidP="00B26A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6459" w:rsidP="00B26A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459" w:rsidP="002464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59" w:rsidP="00B26A4E">
    <w:pPr>
      <w:pStyle w:val="Header"/>
      <w:framePr w:wrap="around"/>
    </w:pPr>
    <w:r>
      <w:fldChar w:fldCharType="begin"/>
    </w:r>
    <w:r>
      <w:instrText xml:space="preserve"> TITLE   \* MERGEFORMAT </w:instrText>
    </w:r>
    <w:r>
      <w:fldChar w:fldCharType="separate"/>
    </w:r>
    <w:r>
      <w:t>PUADEFEO203C Dispose of non-explosive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6459" w:rsidP="00B26A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088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1EC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A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A4E"/>
    <w:pPr>
      <w:spacing w:before="360" w:after="60"/>
      <w:outlineLvl w:val="0"/>
    </w:pPr>
    <w:rPr>
      <w:sz w:val="32"/>
    </w:rPr>
  </w:style>
  <w:style w:type="paragraph" w:styleId="Heading2">
    <w:name w:val="heading 2"/>
    <w:basedOn w:val="HeadingBase"/>
    <w:next w:val="BodyText"/>
    <w:link w:val="Heading2Char"/>
    <w:qFormat/>
    <w:rsid w:val="00B26A4E"/>
    <w:pPr>
      <w:keepLines/>
      <w:spacing w:before="240" w:after="120"/>
      <w:outlineLvl w:val="1"/>
    </w:pPr>
    <w:rPr>
      <w:sz w:val="28"/>
      <w:szCs w:val="40"/>
    </w:rPr>
  </w:style>
  <w:style w:type="paragraph" w:styleId="Heading3">
    <w:name w:val="heading 3"/>
    <w:basedOn w:val="HeadingBase"/>
    <w:next w:val="BodyText"/>
    <w:link w:val="Heading3Char"/>
    <w:qFormat/>
    <w:rsid w:val="00B26A4E"/>
    <w:pPr>
      <w:spacing w:before="180" w:after="120"/>
      <w:outlineLvl w:val="2"/>
    </w:pPr>
    <w:rPr>
      <w:spacing w:val="-10"/>
      <w:kern w:val="32"/>
    </w:rPr>
  </w:style>
  <w:style w:type="paragraph" w:styleId="Heading4">
    <w:name w:val="heading 4"/>
    <w:basedOn w:val="HeadingBase"/>
    <w:next w:val="BodyText"/>
    <w:link w:val="Heading4Char"/>
    <w:qFormat/>
    <w:rsid w:val="00B26A4E"/>
    <w:pPr>
      <w:spacing w:before="160" w:after="120"/>
      <w:outlineLvl w:val="3"/>
    </w:pPr>
    <w:rPr>
      <w:sz w:val="22"/>
    </w:rPr>
  </w:style>
  <w:style w:type="paragraph" w:styleId="Heading5">
    <w:name w:val="heading 5"/>
    <w:basedOn w:val="HeadingBase"/>
    <w:next w:val="Normal"/>
    <w:link w:val="Heading5Char"/>
    <w:qFormat/>
    <w:rsid w:val="00B26A4E"/>
    <w:pPr>
      <w:spacing w:before="80"/>
      <w:outlineLvl w:val="4"/>
    </w:pPr>
    <w:rPr>
      <w:color w:val="918585"/>
      <w:sz w:val="20"/>
    </w:rPr>
  </w:style>
  <w:style w:type="paragraph" w:styleId="Heading6">
    <w:name w:val="heading 6"/>
    <w:basedOn w:val="HeadingBase"/>
    <w:next w:val="Normal"/>
    <w:link w:val="Heading6Char"/>
    <w:qFormat/>
    <w:rsid w:val="00B26A4E"/>
    <w:pPr>
      <w:spacing w:before="60"/>
      <w:outlineLvl w:val="5"/>
    </w:pPr>
    <w:rPr>
      <w:color w:val="918585"/>
      <w:sz w:val="20"/>
    </w:rPr>
  </w:style>
  <w:style w:type="paragraph" w:styleId="Heading7">
    <w:name w:val="heading 7"/>
    <w:basedOn w:val="Normal"/>
    <w:next w:val="Normal"/>
    <w:link w:val="Heading7Char"/>
    <w:qFormat/>
    <w:rsid w:val="00B26A4E"/>
    <w:pPr>
      <w:ind w:left="720"/>
      <w:outlineLvl w:val="6"/>
    </w:pPr>
    <w:rPr>
      <w:i/>
    </w:rPr>
  </w:style>
  <w:style w:type="paragraph" w:styleId="Heading8">
    <w:name w:val="heading 8"/>
    <w:basedOn w:val="Normal"/>
    <w:next w:val="Normal"/>
    <w:link w:val="Heading8Char"/>
    <w:qFormat/>
    <w:rsid w:val="00B26A4E"/>
    <w:pPr>
      <w:ind w:left="720"/>
      <w:outlineLvl w:val="7"/>
    </w:pPr>
    <w:rPr>
      <w:i/>
    </w:rPr>
  </w:style>
  <w:style w:type="paragraph" w:styleId="Heading9">
    <w:name w:val="heading 9"/>
    <w:basedOn w:val="Normal"/>
    <w:next w:val="Normal"/>
    <w:link w:val="Heading9Char"/>
    <w:qFormat/>
    <w:rsid w:val="00B26A4E"/>
    <w:pPr>
      <w:ind w:left="720"/>
      <w:outlineLvl w:val="8"/>
    </w:pPr>
    <w:rPr>
      <w:i/>
    </w:rPr>
  </w:style>
  <w:style w:type="character" w:default="1" w:styleId="DefaultParagraphFont">
    <w:name w:val="Default Paragraph Font"/>
    <w:uiPriority w:val="1"/>
    <w:unhideWhenUsed/>
    <w:rsid w:val="00B26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A4E"/>
  </w:style>
  <w:style w:type="character" w:customStyle="1" w:styleId="Heading1Char">
    <w:name w:val="Heading 1 Char"/>
    <w:link w:val="Heading1"/>
    <w:rsid w:val="00B26A4E"/>
    <w:rPr>
      <w:rFonts w:ascii="Times New Roman" w:eastAsia="Times New Roman" w:hAnsi="Times New Roman" w:cs="Times New Roman"/>
      <w:b/>
      <w:sz w:val="32"/>
      <w:szCs w:val="20"/>
      <w:lang w:eastAsia="en-US"/>
    </w:rPr>
  </w:style>
  <w:style w:type="paragraph" w:styleId="BodyText">
    <w:name w:val="Body Text"/>
    <w:basedOn w:val="Normal"/>
    <w:link w:val="BodyTextChar"/>
    <w:rsid w:val="00B26A4E"/>
    <w:pPr>
      <w:spacing w:before="120" w:after="120"/>
      <w:contextualSpacing/>
    </w:pPr>
    <w:rPr>
      <w:rFonts w:ascii="Times New Roman" w:hAnsi="Times New Roman"/>
      <w:sz w:val="24"/>
      <w:szCs w:val="22"/>
    </w:rPr>
  </w:style>
  <w:style w:type="character" w:customStyle="1" w:styleId="BodyTextChar">
    <w:name w:val="Body Text Char"/>
    <w:link w:val="BodyText"/>
    <w:rsid w:val="00B26A4E"/>
    <w:rPr>
      <w:rFonts w:ascii="Times New Roman" w:eastAsia="Times New Roman" w:hAnsi="Times New Roman" w:cs="Times New Roman"/>
      <w:sz w:val="24"/>
      <w:lang w:val="en-US" w:eastAsia="en-US"/>
    </w:rPr>
  </w:style>
  <w:style w:type="paragraph" w:styleId="Footer">
    <w:name w:val="footer"/>
    <w:basedOn w:val="Normal"/>
    <w:link w:val="FooterChar"/>
    <w:rsid w:val="00B26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6A4E"/>
    <w:rPr>
      <w:rFonts w:ascii="Times New Roman" w:eastAsia="Times New Roman" w:hAnsi="Times New Roman" w:cs="Times New Roman"/>
      <w:sz w:val="16"/>
      <w:lang w:val="en-US" w:eastAsia="en-US"/>
    </w:rPr>
  </w:style>
  <w:style w:type="paragraph" w:styleId="List">
    <w:name w:val="List"/>
    <w:basedOn w:val="BodyText"/>
    <w:next w:val="BodyText"/>
    <w:rsid w:val="00B26A4E"/>
    <w:pPr>
      <w:tabs>
        <w:tab w:val="left" w:pos="340"/>
      </w:tabs>
      <w:spacing w:before="60" w:after="60"/>
      <w:ind w:left="340" w:hanging="340"/>
    </w:pPr>
  </w:style>
  <w:style w:type="paragraph" w:styleId="ListBullet">
    <w:name w:val="List Bullet"/>
    <w:basedOn w:val="List"/>
    <w:rsid w:val="00B26A4E"/>
    <w:pPr>
      <w:numPr>
        <w:numId w:val="12"/>
      </w:numPr>
      <w:tabs>
        <w:tab w:val="clear" w:pos="340"/>
      </w:tabs>
      <w:spacing w:before="40" w:after="40"/>
    </w:pPr>
  </w:style>
  <w:style w:type="character" w:customStyle="1" w:styleId="SpecialBold">
    <w:name w:val="Special Bold"/>
    <w:rsid w:val="00B26A4E"/>
    <w:rPr>
      <w:b/>
      <w:spacing w:val="0"/>
    </w:rPr>
  </w:style>
  <w:style w:type="paragraph" w:styleId="Header">
    <w:name w:val="header"/>
    <w:basedOn w:val="Normal"/>
    <w:link w:val="HeaderChar"/>
    <w:rsid w:val="00B26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6A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A4E"/>
    <w:pPr>
      <w:spacing w:before="240" w:after="120"/>
      <w:outlineLvl w:val="0"/>
    </w:pPr>
    <w:rPr>
      <w:rFonts w:ascii="Times New Roman" w:hAnsi="Times New Roman"/>
      <w:b/>
      <w:sz w:val="28"/>
    </w:rPr>
  </w:style>
  <w:style w:type="paragraph" w:customStyle="1" w:styleId="AllowPageBreak">
    <w:name w:val="AllowPageBreak"/>
    <w:rsid w:val="00B26A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A4E"/>
    <w:pPr>
      <w:tabs>
        <w:tab w:val="left" w:pos="680"/>
      </w:tabs>
      <w:spacing w:before="60" w:after="60"/>
      <w:ind w:left="680" w:hanging="340"/>
    </w:pPr>
  </w:style>
  <w:style w:type="character" w:customStyle="1" w:styleId="BoldandItalics">
    <w:name w:val="Bold and Italics"/>
    <w:qFormat/>
    <w:rsid w:val="00B26A4E"/>
    <w:rPr>
      <w:b/>
      <w:i/>
      <w:u w:val="none"/>
    </w:rPr>
  </w:style>
  <w:style w:type="character" w:customStyle="1" w:styleId="Heading2Char">
    <w:name w:val="Heading 2 Char"/>
    <w:link w:val="Heading2"/>
    <w:rsid w:val="00B26A4E"/>
    <w:rPr>
      <w:rFonts w:ascii="Times New Roman" w:eastAsia="Times New Roman" w:hAnsi="Times New Roman" w:cs="Times New Roman"/>
      <w:b/>
      <w:sz w:val="28"/>
      <w:szCs w:val="40"/>
      <w:lang w:eastAsia="en-US"/>
    </w:rPr>
  </w:style>
  <w:style w:type="character" w:customStyle="1" w:styleId="Heading3Char">
    <w:name w:val="Heading 3 Char"/>
    <w:link w:val="Heading3"/>
    <w:rsid w:val="00B26A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6A4E"/>
    <w:rPr>
      <w:rFonts w:ascii="Times New Roman" w:eastAsia="Times New Roman" w:hAnsi="Times New Roman" w:cs="Times New Roman"/>
      <w:b/>
      <w:szCs w:val="20"/>
      <w:lang w:eastAsia="en-US"/>
    </w:rPr>
  </w:style>
  <w:style w:type="character" w:customStyle="1" w:styleId="Heading5Char">
    <w:name w:val="Heading 5 Char"/>
    <w:link w:val="Heading5"/>
    <w:rsid w:val="00B26A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6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A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A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A4E"/>
    <w:rPr>
      <w:rFonts w:ascii="Courier New" w:eastAsia="Times New Roman" w:hAnsi="Courier New" w:cs="Times New Roman"/>
      <w:i/>
      <w:szCs w:val="20"/>
      <w:lang w:val="en-US" w:eastAsia="en-US"/>
    </w:rPr>
  </w:style>
  <w:style w:type="paragraph" w:customStyle="1" w:styleId="HeadingBase">
    <w:name w:val="Heading Base"/>
    <w:rsid w:val="00B26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A4E"/>
    <w:pPr>
      <w:tabs>
        <w:tab w:val="right" w:leader="dot" w:pos="9072"/>
      </w:tabs>
      <w:ind w:left="567"/>
    </w:pPr>
    <w:rPr>
      <w:szCs w:val="22"/>
    </w:rPr>
  </w:style>
  <w:style w:type="paragraph" w:customStyle="1" w:styleId="TOCBase">
    <w:name w:val="TOC Base"/>
    <w:rsid w:val="00B26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A4E"/>
    <w:pPr>
      <w:tabs>
        <w:tab w:val="right" w:leader="dot" w:pos="9072"/>
      </w:tabs>
      <w:spacing w:before="40" w:after="40"/>
      <w:ind w:left="284"/>
    </w:pPr>
    <w:rPr>
      <w:rFonts w:ascii="Times New Roman" w:hAnsi="Times New Roman"/>
    </w:rPr>
  </w:style>
  <w:style w:type="paragraph" w:styleId="TOC1">
    <w:name w:val="toc 1"/>
    <w:basedOn w:val="TOCBase"/>
    <w:next w:val="Normal"/>
    <w:rsid w:val="00B26A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A4E"/>
    <w:pPr>
      <w:spacing w:before="5040"/>
      <w:jc w:val="center"/>
    </w:pPr>
    <w:rPr>
      <w:sz w:val="48"/>
      <w:szCs w:val="72"/>
      <w:lang w:val="en-US"/>
    </w:rPr>
  </w:style>
  <w:style w:type="character" w:customStyle="1" w:styleId="TitleChar">
    <w:name w:val="Title Char"/>
    <w:link w:val="Title"/>
    <w:rsid w:val="00B26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A4E"/>
    <w:pPr>
      <w:tabs>
        <w:tab w:val="left" w:pos="3600"/>
        <w:tab w:val="left" w:pos="3958"/>
      </w:tabs>
    </w:pPr>
  </w:style>
  <w:style w:type="paragraph" w:customStyle="1" w:styleId="Note">
    <w:name w:val="Note"/>
    <w:basedOn w:val="BodyText"/>
    <w:rsid w:val="00B26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A4E"/>
    <w:pPr>
      <w:framePr w:wrap="auto" w:hAnchor="text" w:y="6049"/>
    </w:pPr>
    <w:rPr>
      <w:color w:val="000000"/>
      <w:sz w:val="40"/>
    </w:rPr>
  </w:style>
  <w:style w:type="paragraph" w:customStyle="1" w:styleId="TOCTitle">
    <w:name w:val="TOCTitle"/>
    <w:basedOn w:val="Heading1"/>
    <w:rsid w:val="00B26A4E"/>
    <w:pPr>
      <w:spacing w:after="240"/>
      <w:jc w:val="center"/>
      <w:outlineLvl w:val="9"/>
    </w:pPr>
    <w:rPr>
      <w:caps/>
    </w:rPr>
  </w:style>
  <w:style w:type="paragraph" w:customStyle="1" w:styleId="Version">
    <w:name w:val="Version"/>
    <w:rsid w:val="00B26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A4E"/>
    <w:pPr>
      <w:numPr>
        <w:numId w:val="13"/>
      </w:numPr>
      <w:tabs>
        <w:tab w:val="clear" w:pos="680"/>
      </w:tabs>
    </w:pPr>
  </w:style>
  <w:style w:type="paragraph" w:styleId="Index1">
    <w:name w:val="index 1"/>
    <w:basedOn w:val="Normal"/>
    <w:next w:val="Normal"/>
    <w:semiHidden/>
    <w:rsid w:val="00B26A4E"/>
    <w:pPr>
      <w:keepNext w:val="0"/>
      <w:tabs>
        <w:tab w:val="right" w:pos="4176"/>
      </w:tabs>
      <w:ind w:left="198" w:hanging="198"/>
    </w:pPr>
    <w:rPr>
      <w:rFonts w:ascii="Garamond" w:hAnsi="Garamond"/>
    </w:rPr>
  </w:style>
  <w:style w:type="paragraph" w:styleId="IndexHeading">
    <w:name w:val="index heading"/>
    <w:basedOn w:val="Normal"/>
    <w:next w:val="Index1"/>
    <w:semiHidden/>
    <w:rsid w:val="00B26A4E"/>
    <w:pPr>
      <w:spacing w:before="120" w:after="120"/>
    </w:pPr>
    <w:rPr>
      <w:rFonts w:ascii="Arial" w:hAnsi="Arial"/>
      <w:b/>
      <w:color w:val="918585"/>
      <w:sz w:val="24"/>
    </w:rPr>
  </w:style>
  <w:style w:type="paragraph" w:customStyle="1" w:styleId="Chapter">
    <w:name w:val="Chapter"/>
    <w:basedOn w:val="Normal"/>
    <w:rsid w:val="00B26A4E"/>
    <w:pPr>
      <w:spacing w:before="240"/>
    </w:pPr>
    <w:rPr>
      <w:rFonts w:ascii="Times New Roman" w:hAnsi="Times New Roman"/>
      <w:smallCaps/>
      <w:spacing w:val="80"/>
      <w:sz w:val="28"/>
    </w:rPr>
  </w:style>
  <w:style w:type="paragraph" w:customStyle="1" w:styleId="InChapter">
    <w:name w:val="InChapter"/>
    <w:basedOn w:val="Heading3"/>
    <w:rsid w:val="00B26A4E"/>
    <w:pPr>
      <w:spacing w:after="240"/>
      <w:outlineLvl w:val="9"/>
    </w:pPr>
    <w:rPr>
      <w:noProof/>
    </w:rPr>
  </w:style>
  <w:style w:type="paragraph" w:styleId="Index2">
    <w:name w:val="index 2"/>
    <w:basedOn w:val="Normal"/>
    <w:next w:val="Normal"/>
    <w:semiHidden/>
    <w:rsid w:val="00B26A4E"/>
    <w:pPr>
      <w:tabs>
        <w:tab w:val="right" w:pos="4176"/>
      </w:tabs>
      <w:ind w:left="568" w:hanging="284"/>
    </w:pPr>
    <w:rPr>
      <w:rFonts w:ascii="Garamond" w:hAnsi="Garamond"/>
    </w:rPr>
  </w:style>
  <w:style w:type="paragraph" w:customStyle="1" w:styleId="Byline">
    <w:name w:val="Byline"/>
    <w:rsid w:val="00B26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A4E"/>
    <w:pPr>
      <w:tabs>
        <w:tab w:val="clear" w:pos="3600"/>
        <w:tab w:val="clear" w:pos="3958"/>
      </w:tabs>
      <w:jc w:val="right"/>
    </w:pPr>
  </w:style>
  <w:style w:type="character" w:styleId="Emphasis">
    <w:name w:val="Emphasis"/>
    <w:qFormat/>
    <w:rsid w:val="00B26A4E"/>
    <w:rPr>
      <w:i/>
    </w:rPr>
  </w:style>
  <w:style w:type="paragraph" w:styleId="Caption">
    <w:name w:val="caption"/>
    <w:basedOn w:val="BodyText"/>
    <w:next w:val="Normal"/>
    <w:qFormat/>
    <w:rsid w:val="00B26A4E"/>
    <w:pPr>
      <w:framePr w:w="2268" w:hSpace="181" w:vSpace="181" w:wrap="around" w:vAnchor="text" w:hAnchor="page" w:x="1135" w:y="285" w:anchorLock="1"/>
    </w:pPr>
    <w:rPr>
      <w:i/>
    </w:rPr>
  </w:style>
  <w:style w:type="paragraph" w:customStyle="1" w:styleId="MiniTOCTitle">
    <w:name w:val="MiniTOCTitle"/>
    <w:basedOn w:val="Heading4"/>
    <w:rsid w:val="00B26A4E"/>
    <w:pPr>
      <w:spacing w:before="240"/>
      <w:outlineLvl w:val="9"/>
    </w:pPr>
    <w:rPr>
      <w:noProof/>
      <w:sz w:val="24"/>
    </w:rPr>
  </w:style>
  <w:style w:type="paragraph" w:customStyle="1" w:styleId="MiniTOCItem">
    <w:name w:val="MiniTOCItem"/>
    <w:basedOn w:val="ListBullet"/>
    <w:rsid w:val="00B26A4E"/>
    <w:pPr>
      <w:numPr>
        <w:numId w:val="0"/>
      </w:numPr>
      <w:tabs>
        <w:tab w:val="right" w:leader="dot" w:pos="6521"/>
      </w:tabs>
      <w:spacing w:before="0" w:after="0"/>
    </w:pPr>
  </w:style>
  <w:style w:type="paragraph" w:customStyle="1" w:styleId="TOFTitle">
    <w:name w:val="TOFTitle"/>
    <w:basedOn w:val="TOCTitle"/>
    <w:rsid w:val="00B26A4E"/>
  </w:style>
  <w:style w:type="paragraph" w:styleId="TableofFigures">
    <w:name w:val="table of figures"/>
    <w:basedOn w:val="Normal"/>
    <w:next w:val="Normal"/>
    <w:semiHidden/>
    <w:rsid w:val="00B26A4E"/>
    <w:pPr>
      <w:tabs>
        <w:tab w:val="right" w:leader="dot" w:pos="9072"/>
      </w:tabs>
      <w:ind w:left="970" w:hanging="403"/>
    </w:pPr>
    <w:rPr>
      <w:rFonts w:ascii="Times New Roman" w:hAnsi="Times New Roman"/>
      <w:b/>
    </w:rPr>
  </w:style>
  <w:style w:type="paragraph" w:styleId="ListNumber">
    <w:name w:val="List Number"/>
    <w:basedOn w:val="List"/>
    <w:rsid w:val="00B26A4E"/>
    <w:pPr>
      <w:numPr>
        <w:numId w:val="10"/>
      </w:numPr>
    </w:pPr>
  </w:style>
  <w:style w:type="character" w:customStyle="1" w:styleId="WingdingSymbols">
    <w:name w:val="Wingding Symbols"/>
    <w:rsid w:val="00B26A4E"/>
    <w:rPr>
      <w:rFonts w:ascii="Wingdings" w:hAnsi="Wingdings"/>
    </w:rPr>
  </w:style>
  <w:style w:type="paragraph" w:customStyle="1" w:styleId="TableHeading">
    <w:name w:val="Table Heading"/>
    <w:basedOn w:val="HeadingBase"/>
    <w:rsid w:val="00B26A4E"/>
    <w:pPr>
      <w:keepLines/>
      <w:pBdr>
        <w:bottom w:val="single" w:sz="6" w:space="1" w:color="918585"/>
      </w:pBdr>
      <w:spacing w:before="240"/>
    </w:pPr>
  </w:style>
  <w:style w:type="character" w:customStyle="1" w:styleId="HotSpot">
    <w:name w:val="HotSpot"/>
    <w:rsid w:val="00B26A4E"/>
    <w:rPr>
      <w:color w:val="0033CC"/>
      <w:u w:val="none"/>
    </w:rPr>
  </w:style>
  <w:style w:type="paragraph" w:customStyle="1" w:styleId="BodyTextRight">
    <w:name w:val="Body Text Right"/>
    <w:basedOn w:val="BodyText"/>
    <w:rsid w:val="00B26A4E"/>
    <w:pPr>
      <w:spacing w:before="0" w:after="0"/>
      <w:jc w:val="right"/>
    </w:pPr>
  </w:style>
  <w:style w:type="paragraph" w:styleId="Index3">
    <w:name w:val="index 3"/>
    <w:basedOn w:val="ListNumber2"/>
    <w:next w:val="Normal"/>
    <w:semiHidden/>
    <w:rsid w:val="00B26A4E"/>
    <w:pPr>
      <w:numPr>
        <w:numId w:val="0"/>
      </w:numPr>
      <w:tabs>
        <w:tab w:val="right" w:leader="dot" w:pos="4176"/>
      </w:tabs>
    </w:pPr>
  </w:style>
  <w:style w:type="paragraph" w:styleId="ListNumber2">
    <w:name w:val="List Number 2"/>
    <w:basedOn w:val="List2"/>
    <w:rsid w:val="00B26A4E"/>
    <w:pPr>
      <w:numPr>
        <w:numId w:val="9"/>
      </w:numPr>
      <w:tabs>
        <w:tab w:val="clear" w:pos="1060"/>
      </w:tabs>
    </w:pPr>
  </w:style>
  <w:style w:type="paragraph" w:customStyle="1" w:styleId="MarginNote">
    <w:name w:val="Margin Note"/>
    <w:basedOn w:val="BodyText"/>
    <w:rsid w:val="00B26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6A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A4E"/>
    <w:rPr>
      <w:sz w:val="32"/>
    </w:rPr>
  </w:style>
  <w:style w:type="paragraph" w:customStyle="1" w:styleId="HeadingProcedure">
    <w:name w:val="Heading Procedure"/>
    <w:basedOn w:val="HeadingBase"/>
    <w:next w:val="Normal"/>
    <w:rsid w:val="00B26A4E"/>
    <w:pPr>
      <w:tabs>
        <w:tab w:val="left" w:pos="0"/>
      </w:tabs>
      <w:spacing w:before="120" w:after="60"/>
    </w:pPr>
    <w:rPr>
      <w:i/>
      <w:color w:val="918585"/>
      <w:sz w:val="22"/>
    </w:rPr>
  </w:style>
  <w:style w:type="paragraph" w:customStyle="1" w:styleId="TableBodyText">
    <w:name w:val="Table Body Text"/>
    <w:basedOn w:val="BodyText"/>
    <w:rsid w:val="00B26A4E"/>
    <w:pPr>
      <w:spacing w:before="60" w:after="60"/>
    </w:pPr>
  </w:style>
  <w:style w:type="paragraph" w:styleId="ListContinue">
    <w:name w:val="List Continue"/>
    <w:basedOn w:val="List"/>
    <w:rsid w:val="00B26A4E"/>
    <w:pPr>
      <w:ind w:firstLine="0"/>
    </w:pPr>
  </w:style>
  <w:style w:type="paragraph" w:customStyle="1" w:styleId="ListNote">
    <w:name w:val="List Note"/>
    <w:basedOn w:val="List"/>
    <w:rsid w:val="00B26A4E"/>
    <w:pPr>
      <w:pBdr>
        <w:top w:val="single" w:sz="6" w:space="2" w:color="918585"/>
        <w:bottom w:val="single" w:sz="6" w:space="2" w:color="918585"/>
      </w:pBdr>
      <w:tabs>
        <w:tab w:val="left" w:pos="1021"/>
      </w:tabs>
      <w:ind w:firstLine="0"/>
    </w:pPr>
  </w:style>
  <w:style w:type="paragraph" w:customStyle="1" w:styleId="Warning">
    <w:name w:val="Warning"/>
    <w:basedOn w:val="BodyText"/>
    <w:rsid w:val="00B26A4E"/>
    <w:pPr>
      <w:shd w:val="clear" w:color="auto" w:fill="D9D9D9"/>
      <w:tabs>
        <w:tab w:val="left" w:pos="992"/>
      </w:tabs>
      <w:ind w:left="119" w:right="119"/>
    </w:pPr>
    <w:rPr>
      <w:sz w:val="20"/>
    </w:rPr>
  </w:style>
  <w:style w:type="paragraph" w:customStyle="1" w:styleId="MarginIcons">
    <w:name w:val="Margin Icons"/>
    <w:basedOn w:val="BodyText"/>
    <w:rsid w:val="00B26A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6A4E"/>
    <w:rPr>
      <w:rFonts w:ascii="Courier New" w:hAnsi="Courier New"/>
    </w:rPr>
  </w:style>
  <w:style w:type="paragraph" w:customStyle="1" w:styleId="NoteBullet">
    <w:name w:val="Note Bullet"/>
    <w:basedOn w:val="Note"/>
    <w:rsid w:val="00B26A4E"/>
    <w:pPr>
      <w:tabs>
        <w:tab w:val="clear" w:pos="680"/>
      </w:tabs>
      <w:spacing w:before="60" w:after="60"/>
    </w:pPr>
  </w:style>
  <w:style w:type="paragraph" w:customStyle="1" w:styleId="SubHeading2">
    <w:name w:val="SubHeading2"/>
    <w:basedOn w:val="HeadingBase"/>
    <w:rsid w:val="00B26A4E"/>
    <w:pPr>
      <w:spacing w:before="240" w:after="60"/>
    </w:pPr>
    <w:rPr>
      <w:sz w:val="20"/>
    </w:rPr>
  </w:style>
  <w:style w:type="paragraph" w:customStyle="1" w:styleId="SubHeading1">
    <w:name w:val="SubHeading1"/>
    <w:basedOn w:val="HeadingBase"/>
    <w:rsid w:val="00B26A4E"/>
    <w:pPr>
      <w:spacing w:before="240" w:after="60"/>
    </w:pPr>
    <w:rPr>
      <w:color w:val="918585"/>
      <w:sz w:val="22"/>
    </w:rPr>
  </w:style>
  <w:style w:type="paragraph" w:customStyle="1" w:styleId="SideHeading">
    <w:name w:val="Side Heading"/>
    <w:basedOn w:val="HeadingBase"/>
    <w:rsid w:val="00B26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A4E"/>
    <w:pPr>
      <w:tabs>
        <w:tab w:val="num" w:pos="360"/>
      </w:tabs>
    </w:pPr>
  </w:style>
  <w:style w:type="paragraph" w:styleId="PlainText">
    <w:name w:val="Plain Text"/>
    <w:basedOn w:val="Normal"/>
    <w:link w:val="PlainTextChar"/>
    <w:rsid w:val="00B26A4E"/>
    <w:rPr>
      <w:sz w:val="20"/>
    </w:rPr>
  </w:style>
  <w:style w:type="character" w:customStyle="1" w:styleId="PlainTextChar">
    <w:name w:val="Plain Text Char"/>
    <w:basedOn w:val="DefaultParagraphFont"/>
    <w:link w:val="PlainText"/>
    <w:rsid w:val="00B26A4E"/>
    <w:rPr>
      <w:rFonts w:ascii="Courier New" w:eastAsia="Times New Roman" w:hAnsi="Courier New" w:cs="Times New Roman"/>
      <w:sz w:val="20"/>
      <w:szCs w:val="20"/>
      <w:lang w:val="en-US" w:eastAsia="en-US"/>
    </w:rPr>
  </w:style>
  <w:style w:type="character" w:customStyle="1" w:styleId="MenuOption">
    <w:name w:val="Menu Option"/>
    <w:rsid w:val="00B26A4E"/>
    <w:rPr>
      <w:b/>
      <w:smallCaps/>
    </w:rPr>
  </w:style>
  <w:style w:type="paragraph" w:customStyle="1" w:styleId="TableListNumber">
    <w:name w:val="Table List Number"/>
    <w:basedOn w:val="ListNumber"/>
    <w:rsid w:val="00B26A4E"/>
    <w:pPr>
      <w:numPr>
        <w:numId w:val="0"/>
      </w:numPr>
    </w:pPr>
  </w:style>
  <w:style w:type="paragraph" w:styleId="TOC4">
    <w:name w:val="toc 4"/>
    <w:basedOn w:val="TOCBase"/>
    <w:next w:val="Normal"/>
    <w:semiHidden/>
    <w:rsid w:val="00B26A4E"/>
    <w:pPr>
      <w:tabs>
        <w:tab w:val="right" w:leader="dot" w:pos="9071"/>
      </w:tabs>
      <w:ind w:left="1701"/>
    </w:pPr>
  </w:style>
  <w:style w:type="paragraph" w:customStyle="1" w:styleId="ListAlpha">
    <w:name w:val="List Alpha"/>
    <w:basedOn w:val="List"/>
    <w:rsid w:val="00B26A4E"/>
    <w:pPr>
      <w:numPr>
        <w:numId w:val="8"/>
      </w:numPr>
    </w:pPr>
  </w:style>
  <w:style w:type="paragraph" w:customStyle="1" w:styleId="ListAlpha2">
    <w:name w:val="List Alpha 2"/>
    <w:basedOn w:val="List2"/>
    <w:rsid w:val="00B26A4E"/>
    <w:pPr>
      <w:numPr>
        <w:numId w:val="7"/>
      </w:numPr>
    </w:pPr>
  </w:style>
  <w:style w:type="paragraph" w:styleId="List3">
    <w:name w:val="List 3"/>
    <w:basedOn w:val="BodyText"/>
    <w:rsid w:val="00B26A4E"/>
    <w:pPr>
      <w:tabs>
        <w:tab w:val="left" w:pos="1021"/>
      </w:tabs>
      <w:spacing w:before="60" w:after="60"/>
      <w:ind w:left="1020" w:hanging="340"/>
    </w:pPr>
  </w:style>
  <w:style w:type="paragraph" w:styleId="List4">
    <w:name w:val="List 4"/>
    <w:basedOn w:val="BodyText"/>
    <w:rsid w:val="00B26A4E"/>
    <w:pPr>
      <w:tabs>
        <w:tab w:val="left" w:pos="1361"/>
      </w:tabs>
      <w:spacing w:before="60" w:after="60"/>
      <w:ind w:left="1361" w:hanging="340"/>
    </w:pPr>
  </w:style>
  <w:style w:type="paragraph" w:styleId="List5">
    <w:name w:val="List 5"/>
    <w:basedOn w:val="BodyText"/>
    <w:rsid w:val="00B26A4E"/>
    <w:pPr>
      <w:tabs>
        <w:tab w:val="left" w:pos="1701"/>
      </w:tabs>
      <w:spacing w:before="60" w:after="60"/>
      <w:ind w:left="1701" w:hanging="340"/>
    </w:pPr>
  </w:style>
  <w:style w:type="paragraph" w:styleId="ListBullet3">
    <w:name w:val="List Bullet 3"/>
    <w:basedOn w:val="List3"/>
    <w:rsid w:val="00B26A4E"/>
    <w:pPr>
      <w:numPr>
        <w:numId w:val="14"/>
      </w:numPr>
      <w:tabs>
        <w:tab w:val="clear" w:pos="1021"/>
      </w:tabs>
      <w:ind w:left="1037" w:hanging="357"/>
    </w:pPr>
  </w:style>
  <w:style w:type="paragraph" w:styleId="ListBullet4">
    <w:name w:val="List Bullet 4"/>
    <w:basedOn w:val="List4"/>
    <w:rsid w:val="00B26A4E"/>
    <w:pPr>
      <w:numPr>
        <w:numId w:val="2"/>
      </w:numPr>
    </w:pPr>
  </w:style>
  <w:style w:type="paragraph" w:styleId="ListBullet5">
    <w:name w:val="List Bullet 5"/>
    <w:basedOn w:val="List5"/>
    <w:rsid w:val="00B26A4E"/>
    <w:pPr>
      <w:numPr>
        <w:numId w:val="3"/>
      </w:numPr>
    </w:pPr>
  </w:style>
  <w:style w:type="paragraph" w:styleId="ListContinue2">
    <w:name w:val="List Continue 2"/>
    <w:basedOn w:val="List2"/>
    <w:rsid w:val="00B26A4E"/>
    <w:pPr>
      <w:ind w:firstLine="0"/>
    </w:pPr>
  </w:style>
  <w:style w:type="paragraph" w:styleId="ListContinue3">
    <w:name w:val="List Continue 3"/>
    <w:basedOn w:val="List3"/>
    <w:rsid w:val="00B26A4E"/>
    <w:pPr>
      <w:ind w:left="1021" w:firstLine="0"/>
    </w:pPr>
  </w:style>
  <w:style w:type="paragraph" w:styleId="ListContinue4">
    <w:name w:val="List Continue 4"/>
    <w:basedOn w:val="List4"/>
    <w:rsid w:val="00B26A4E"/>
    <w:pPr>
      <w:ind w:firstLine="0"/>
    </w:pPr>
  </w:style>
  <w:style w:type="paragraph" w:styleId="ListContinue5">
    <w:name w:val="List Continue 5"/>
    <w:basedOn w:val="List5"/>
    <w:rsid w:val="00B26A4E"/>
    <w:pPr>
      <w:ind w:firstLine="0"/>
    </w:pPr>
  </w:style>
  <w:style w:type="paragraph" w:styleId="ListNumber3">
    <w:name w:val="List Number 3"/>
    <w:basedOn w:val="List3"/>
    <w:rsid w:val="00B26A4E"/>
    <w:pPr>
      <w:numPr>
        <w:numId w:val="4"/>
      </w:numPr>
    </w:pPr>
  </w:style>
  <w:style w:type="paragraph" w:styleId="ListNumber4">
    <w:name w:val="List Number 4"/>
    <w:basedOn w:val="List4"/>
    <w:rsid w:val="00B26A4E"/>
    <w:pPr>
      <w:numPr>
        <w:numId w:val="5"/>
      </w:numPr>
    </w:pPr>
  </w:style>
  <w:style w:type="paragraph" w:styleId="ListNumber5">
    <w:name w:val="List Number 5"/>
    <w:basedOn w:val="List5"/>
    <w:rsid w:val="00B26A4E"/>
    <w:pPr>
      <w:numPr>
        <w:numId w:val="6"/>
      </w:numPr>
    </w:pPr>
  </w:style>
  <w:style w:type="paragraph" w:styleId="BlockText">
    <w:name w:val="Block Text"/>
    <w:basedOn w:val="Normal"/>
    <w:rsid w:val="00B26A4E"/>
    <w:pPr>
      <w:spacing w:after="120"/>
      <w:ind w:left="1440" w:right="1440"/>
    </w:pPr>
  </w:style>
  <w:style w:type="character" w:customStyle="1" w:styleId="Subscript">
    <w:name w:val="Subscript"/>
    <w:rsid w:val="00B26A4E"/>
    <w:rPr>
      <w:sz w:val="16"/>
      <w:vertAlign w:val="subscript"/>
    </w:rPr>
  </w:style>
  <w:style w:type="character" w:customStyle="1" w:styleId="Superscript">
    <w:name w:val="Superscript"/>
    <w:rsid w:val="00B26A4E"/>
    <w:rPr>
      <w:sz w:val="16"/>
      <w:vertAlign w:val="superscript"/>
    </w:rPr>
  </w:style>
  <w:style w:type="character" w:customStyle="1" w:styleId="Symbols">
    <w:name w:val="Symbols"/>
    <w:rsid w:val="00B26A4E"/>
    <w:rPr>
      <w:rFonts w:ascii="Symbol" w:hAnsi="Symbol"/>
    </w:rPr>
  </w:style>
  <w:style w:type="character" w:customStyle="1" w:styleId="MenuOptions">
    <w:name w:val="Menu Options"/>
    <w:rsid w:val="00B26A4E"/>
    <w:rPr>
      <w:rFonts w:ascii="Arial Narrow" w:hAnsi="Arial Narrow"/>
      <w:smallCaps/>
    </w:rPr>
  </w:style>
  <w:style w:type="character" w:customStyle="1" w:styleId="Buttons">
    <w:name w:val="Buttons"/>
    <w:rsid w:val="00B26A4E"/>
    <w:rPr>
      <w:b/>
    </w:rPr>
  </w:style>
  <w:style w:type="character" w:customStyle="1" w:styleId="Underlined">
    <w:name w:val="Underlined"/>
    <w:rsid w:val="00B26A4E"/>
    <w:rPr>
      <w:u w:val="single"/>
    </w:rPr>
  </w:style>
  <w:style w:type="paragraph" w:customStyle="1" w:styleId="TableBodyTextRight">
    <w:name w:val="Table Body Text Right"/>
    <w:basedOn w:val="TableBodyText"/>
    <w:rsid w:val="00B26A4E"/>
    <w:pPr>
      <w:widowControl w:val="0"/>
      <w:autoSpaceDE w:val="0"/>
      <w:autoSpaceDN w:val="0"/>
      <w:adjustRightInd w:val="0"/>
      <w:jc w:val="right"/>
    </w:pPr>
    <w:rPr>
      <w:rFonts w:cs="Arial"/>
      <w:szCs w:val="18"/>
    </w:rPr>
  </w:style>
  <w:style w:type="paragraph" w:customStyle="1" w:styleId="CopyrightText">
    <w:name w:val="Copyright Text"/>
    <w:basedOn w:val="BodyText"/>
    <w:rsid w:val="00B26A4E"/>
    <w:rPr>
      <w:sz w:val="18"/>
    </w:rPr>
  </w:style>
  <w:style w:type="paragraph" w:customStyle="1" w:styleId="BodySmallRight">
    <w:name w:val="Body Small Right"/>
    <w:basedOn w:val="BodyTextRight"/>
    <w:rsid w:val="00B26A4E"/>
    <w:rPr>
      <w:sz w:val="18"/>
      <w:szCs w:val="18"/>
    </w:rPr>
  </w:style>
  <w:style w:type="paragraph" w:customStyle="1" w:styleId="MarginEdition">
    <w:name w:val="Margin Edition"/>
    <w:basedOn w:val="MarginNote"/>
    <w:rsid w:val="00B26A4E"/>
    <w:pPr>
      <w:spacing w:before="0" w:after="0"/>
    </w:pPr>
    <w:rPr>
      <w:rFonts w:ascii="Times New Roman" w:hAnsi="Times New Roman"/>
      <w:color w:val="999999"/>
    </w:rPr>
  </w:style>
  <w:style w:type="paragraph" w:customStyle="1" w:styleId="Spacer">
    <w:name w:val="Spacer"/>
    <w:basedOn w:val="Normal"/>
    <w:rsid w:val="00B26A4E"/>
    <w:rPr>
      <w:sz w:val="2"/>
      <w:szCs w:val="2"/>
    </w:rPr>
  </w:style>
  <w:style w:type="character" w:customStyle="1" w:styleId="Small">
    <w:name w:val="Small"/>
    <w:rsid w:val="00B26A4E"/>
    <w:rPr>
      <w:sz w:val="16"/>
    </w:rPr>
  </w:style>
  <w:style w:type="paragraph" w:customStyle="1" w:styleId="WideTable">
    <w:name w:val="Wide Table"/>
    <w:basedOn w:val="Normal"/>
    <w:rsid w:val="00B26A4E"/>
    <w:pPr>
      <w:ind w:left="-1418"/>
    </w:pPr>
    <w:rPr>
      <w:sz w:val="2"/>
      <w:szCs w:val="2"/>
    </w:rPr>
  </w:style>
  <w:style w:type="character" w:styleId="PageNumber">
    <w:name w:val="page number"/>
    <w:rsid w:val="00B26A4E"/>
  </w:style>
  <w:style w:type="paragraph" w:styleId="Quote">
    <w:name w:val="Quote"/>
    <w:basedOn w:val="Heading1"/>
    <w:link w:val="QuoteChar"/>
    <w:qFormat/>
    <w:rsid w:val="00B26A4E"/>
    <w:rPr>
      <w:b w:val="0"/>
      <w:sz w:val="72"/>
      <w:szCs w:val="72"/>
      <w:lang w:val="en-NZ"/>
    </w:rPr>
  </w:style>
  <w:style w:type="character" w:customStyle="1" w:styleId="QuoteChar">
    <w:name w:val="Quote Char"/>
    <w:link w:val="Quote"/>
    <w:rsid w:val="00B26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A4E"/>
    <w:pPr>
      <w:pageBreakBefore/>
    </w:pPr>
  </w:style>
  <w:style w:type="paragraph" w:customStyle="1" w:styleId="Border">
    <w:name w:val="Border"/>
    <w:basedOn w:val="Normal"/>
    <w:qFormat/>
    <w:rsid w:val="00B26A4E"/>
    <w:pPr>
      <w:pBdr>
        <w:top w:val="single" w:sz="18" w:space="1" w:color="auto"/>
      </w:pBdr>
    </w:pPr>
    <w:rPr>
      <w:rFonts w:ascii="Times New Roman" w:hAnsi="Times New Roman"/>
      <w:color w:val="FFFFFF"/>
      <w:sz w:val="2"/>
    </w:rPr>
  </w:style>
  <w:style w:type="character" w:styleId="IntenseEmphasis">
    <w:name w:val="Intense Emphasis"/>
    <w:uiPriority w:val="21"/>
    <w:qFormat/>
    <w:rsid w:val="00B26A4E"/>
    <w:rPr>
      <w:b/>
      <w:bCs/>
      <w:i/>
      <w:iCs/>
      <w:color w:val="auto"/>
    </w:rPr>
  </w:style>
  <w:style w:type="paragraph" w:styleId="IntenseQuote">
    <w:name w:val="Intense Quote"/>
    <w:basedOn w:val="Normal"/>
    <w:next w:val="Normal"/>
    <w:link w:val="IntenseQuoteChar"/>
    <w:uiPriority w:val="30"/>
    <w:qFormat/>
    <w:rsid w:val="00B26A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6A4E"/>
    <w:rPr>
      <w:rFonts w:ascii="Courier New" w:eastAsia="Times New Roman" w:hAnsi="Courier New" w:cs="Times New Roman"/>
      <w:b/>
      <w:bCs/>
      <w:i/>
      <w:iCs/>
      <w:szCs w:val="20"/>
      <w:lang w:val="en-US" w:eastAsia="en-US"/>
    </w:rPr>
  </w:style>
  <w:style w:type="character" w:styleId="SubtleReference">
    <w:name w:val="Subtle Reference"/>
    <w:uiPriority w:val="31"/>
    <w:qFormat/>
    <w:rsid w:val="00B26A4E"/>
    <w:rPr>
      <w:smallCaps/>
      <w:color w:val="auto"/>
      <w:u w:val="single"/>
    </w:rPr>
  </w:style>
  <w:style w:type="character" w:styleId="IntenseReference">
    <w:name w:val="Intense Reference"/>
    <w:uiPriority w:val="32"/>
    <w:qFormat/>
    <w:rsid w:val="00B26A4E"/>
    <w:rPr>
      <w:b/>
      <w:bCs/>
      <w:smallCaps/>
      <w:color w:val="auto"/>
      <w:spacing w:val="5"/>
      <w:u w:val="single"/>
    </w:rPr>
  </w:style>
  <w:style w:type="paragraph" w:customStyle="1" w:styleId="2ColumnHeading">
    <w:name w:val="2Column Heading"/>
    <w:basedOn w:val="BodyText"/>
    <w:qFormat/>
    <w:rsid w:val="00B26A4E"/>
    <w:pPr>
      <w:spacing w:after="60"/>
      <w:ind w:left="-2268"/>
    </w:pPr>
    <w:rPr>
      <w:b/>
    </w:rPr>
  </w:style>
  <w:style w:type="paragraph" w:customStyle="1" w:styleId="Heading1TOC">
    <w:name w:val="Heading1 TOC"/>
    <w:basedOn w:val="Normal"/>
    <w:qFormat/>
    <w:rsid w:val="00B26A4E"/>
    <w:pPr>
      <w:spacing w:before="240" w:after="120"/>
    </w:pPr>
    <w:rPr>
      <w:rFonts w:ascii="Times New Roman" w:hAnsi="Times New Roman"/>
      <w:b/>
      <w:sz w:val="32"/>
    </w:rPr>
  </w:style>
  <w:style w:type="paragraph" w:customStyle="1" w:styleId="Heading2TOC">
    <w:name w:val="Heading2 TOC"/>
    <w:basedOn w:val="Normal"/>
    <w:qFormat/>
    <w:rsid w:val="00B26A4E"/>
    <w:pPr>
      <w:spacing w:before="240" w:after="60"/>
    </w:pPr>
    <w:rPr>
      <w:rFonts w:ascii="Times New Roman" w:hAnsi="Times New Roman"/>
      <w:b/>
      <w:sz w:val="28"/>
    </w:rPr>
  </w:style>
  <w:style w:type="character" w:customStyle="1" w:styleId="Underline">
    <w:name w:val="Underline"/>
    <w:qFormat/>
    <w:rsid w:val="00B26A4E"/>
    <w:rPr>
      <w:u w:val="single"/>
    </w:rPr>
  </w:style>
  <w:style w:type="paragraph" w:styleId="BalloonText">
    <w:name w:val="Balloon Text"/>
    <w:basedOn w:val="Normal"/>
    <w:link w:val="BalloonTextChar"/>
    <w:rsid w:val="00B26A4E"/>
    <w:rPr>
      <w:rFonts w:ascii="Tahoma" w:hAnsi="Tahoma" w:cs="Tahoma"/>
      <w:sz w:val="16"/>
      <w:szCs w:val="16"/>
    </w:rPr>
  </w:style>
  <w:style w:type="character" w:customStyle="1" w:styleId="BalloonTextChar">
    <w:name w:val="Balloon Text Char"/>
    <w:link w:val="BalloonText"/>
    <w:rsid w:val="00B26A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A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6A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905</Words>
  <Characters>5959</Characters>
  <Application>Microsoft Office Word</Application>
  <DocSecurity>0</DocSecurity>
  <Lines>232</Lines>
  <Paragraphs>117</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PUADEFEO203C Dispose of non-explosive dangerous goods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