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D96" w:rsidP="00567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PUADEFCA410B Throw grenades on operations</w:t>
      </w:r>
      <w:r>
        <w:fldChar w:fldCharType="end"/>
      </w:r>
    </w:p>
    <w:p w:rsidR="00567D96" w:rsidP="00567D96">
      <w:pPr>
        <w:pStyle w:val="Version"/>
        <w:sectPr w:rsidSect="008D2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D2909" w:rsidP="008D2909">
      <w:pPr>
        <w:pStyle w:val="SuperHeading"/>
      </w:pPr>
      <w:r w:rsidRPr="008D2909">
        <w:t>PUADEFCA410B Throw grenades on operations</w:t>
      </w:r>
    </w:p>
    <w:p w:rsidR="00000000" w:rsidRPr="008D2909" w:rsidP="008D2909">
      <w:pPr>
        <w:pStyle w:val="SuperHeading"/>
      </w:pPr>
    </w:p>
    <w:p w:rsidR="00000000" w:rsidRPr="008D2909" w:rsidP="008D2909">
      <w:pPr>
        <w:pStyle w:val="Heading1"/>
      </w:pPr>
      <w:bookmarkStart w:id="1" w:name="O_119403"/>
      <w:bookmarkEnd w:id="1"/>
      <w:r w:rsidRPr="008D2909">
        <w:t>Modification History</w:t>
      </w:r>
    </w:p>
    <w:p w:rsidR="00000000" w:rsidRPr="008D2909" w:rsidP="008D2909">
      <w:pPr>
        <w:pStyle w:val="BodyText"/>
      </w:pPr>
      <w:r w:rsidRPr="008D2909">
        <w:t>Not applicable.</w:t>
      </w: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2" w:name="O_119404"/>
      <w:bookmarkEnd w:id="2"/>
      <w:r w:rsidRPr="008D290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 xml:space="preserve">This unit covers the competency required to effectively throw a </w:t>
            </w:r>
            <w:r w:rsidRPr="008D2909">
              <w:rPr>
                <w:rStyle w:val="BoldandItalics"/>
              </w:rPr>
              <w:t>grenade</w:t>
            </w:r>
            <w:r w:rsidRPr="008D2909">
              <w:t xml:space="preserve"> on operations in the Australian Def</w:t>
            </w:r>
            <w:r w:rsidRPr="008D2909">
              <w:t>ence Force (ADF).</w:t>
            </w:r>
          </w:p>
          <w:p w:rsidR="00000000" w:rsidRPr="008D2909" w:rsidP="008D2909">
            <w:pPr>
              <w:pStyle w:val="BodyText"/>
            </w:pPr>
            <w:r w:rsidRPr="008D2909">
              <w:t>The individual will be under supervision, usually as part of a team but if authorised has the ability to act independently in accordance with the Rules of Engagement.</w:t>
            </w: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3" w:name="O_119405"/>
      <w:bookmarkEnd w:id="3"/>
      <w:r w:rsidRPr="008D290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This text will be useful for the purposes of job description</w:t>
            </w:r>
            <w:r w:rsidRPr="008D2909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4" w:name="O_119406"/>
      <w:bookmarkEnd w:id="4"/>
      <w:r w:rsidRPr="008D2909">
        <w:t>Licensing/Regulatory Information</w:t>
      </w:r>
    </w:p>
    <w:p w:rsidR="00000000" w:rsidRPr="008D2909" w:rsidP="008D2909">
      <w:pPr>
        <w:pStyle w:val="BodyText"/>
      </w:pPr>
      <w:r w:rsidRPr="008D2909">
        <w:t>Not applicable.</w:t>
      </w: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5" w:name="O_119408"/>
      <w:bookmarkEnd w:id="5"/>
      <w:r w:rsidRPr="008D290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Prerequisite Unit</w:t>
            </w:r>
            <w:r w:rsidRPr="008D2909">
              <w:t>/</w:t>
            </w:r>
            <w:r w:rsidRPr="008D290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Nil</w:t>
            </w: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6" w:name="O_119407"/>
      <w:bookmarkEnd w:id="6"/>
      <w:r w:rsidRPr="008D290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This unit contains employability skills.</w:t>
            </w: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7" w:name="O_119409"/>
      <w:bookmarkEnd w:id="7"/>
      <w:r w:rsidRPr="008D290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Elements describe the essentia</w:t>
            </w:r>
            <w:r w:rsidRPr="008D2909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8D2909">
              <w:t xml:space="preserve"> Range Statement. Assessment of performance is to be consistent with the Evidence Guide.</w:t>
            </w: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8" w:name="O_119410"/>
      <w:bookmarkEnd w:id="8"/>
      <w:r w:rsidRPr="008D29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PERFORMANCE CRITERIA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List"/>
              <w:rPr>
                <w:lang w:val="en-NZ"/>
              </w:rPr>
            </w:pPr>
            <w:r w:rsidRPr="008D2909">
              <w:t>1.</w:t>
            </w:r>
            <w:r w:rsidRPr="008D2909">
              <w:tab/>
            </w:r>
            <w:r w:rsidRPr="008D2909">
              <w:rPr>
                <w:rStyle w:val="SpecialBold"/>
              </w:rPr>
              <w:t>Handle a grenade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List2"/>
            </w:pPr>
            <w:r w:rsidRPr="008D2909">
              <w:t>1.1</w:t>
            </w:r>
            <w:r w:rsidRPr="008D2909">
              <w:tab/>
              <w:t xml:space="preserve">Grenade is safely handled and carried in accordance with </w:t>
            </w:r>
            <w:r w:rsidRPr="008D2909">
              <w:rPr>
                <w:rStyle w:val="BoldandItalics"/>
              </w:rPr>
              <w:t>standard procedures</w:t>
            </w:r>
          </w:p>
          <w:p w:rsidR="00000000" w:rsidRPr="008D2909" w:rsidP="008D2909">
            <w:pPr>
              <w:pStyle w:val="List2"/>
            </w:pPr>
            <w:r w:rsidRPr="008D2909">
              <w:t>1.2</w:t>
            </w:r>
            <w:r w:rsidRPr="008D2909">
              <w:tab/>
              <w:t xml:space="preserve">Grenade is </w:t>
            </w:r>
            <w:r w:rsidRPr="008D2909">
              <w:rPr>
                <w:rStyle w:val="BoldandItalics"/>
              </w:rPr>
              <w:t>identified</w:t>
            </w:r>
            <w:r w:rsidRPr="008D2909">
              <w:t xml:space="preserve"> and selected according to operational requirements</w:t>
            </w:r>
          </w:p>
          <w:p w:rsidR="00000000" w:rsidP="008D2909">
            <w:pPr>
              <w:pStyle w:val="List2"/>
              <w:rPr>
                <w:lang w:val="en-NZ"/>
              </w:rPr>
            </w:pPr>
            <w:r w:rsidRPr="008D2909">
              <w:t>1.3</w:t>
            </w:r>
            <w:r w:rsidRPr="008D2909">
              <w:tab/>
            </w:r>
            <w:r w:rsidRPr="008D2909">
              <w:rPr>
                <w:rStyle w:val="BoldandItalics"/>
              </w:rPr>
              <w:t>Throwing positions</w:t>
            </w:r>
            <w:r w:rsidRPr="008D2909">
              <w:t xml:space="preserve"> are adopted as required by environment and threat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List"/>
              <w:rPr>
                <w:lang w:val="en-NZ"/>
              </w:rPr>
            </w:pPr>
            <w:r w:rsidRPr="008D2909">
              <w:t>2.</w:t>
            </w:r>
            <w:r w:rsidRPr="008D2909">
              <w:tab/>
            </w:r>
            <w:r w:rsidRPr="008D2909">
              <w:rPr>
                <w:rStyle w:val="SpecialBold"/>
              </w:rPr>
              <w:t>Throw a grenade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List2"/>
            </w:pPr>
            <w:r w:rsidRPr="008D2909">
              <w:t>2.1</w:t>
            </w:r>
            <w:r w:rsidRPr="008D2909">
              <w:tab/>
            </w:r>
            <w:r w:rsidRPr="008D2909">
              <w:rPr>
                <w:rStyle w:val="BoldandItalics"/>
              </w:rPr>
              <w:t>Grenade drills</w:t>
            </w:r>
            <w:r w:rsidRPr="008D2909">
              <w:t xml:space="preserve"> are conducted in accordance with </w:t>
            </w:r>
            <w:r w:rsidRPr="008D2909">
              <w:t>standard procedures</w:t>
            </w:r>
          </w:p>
          <w:p w:rsidR="00000000" w:rsidP="008D2909">
            <w:pPr>
              <w:pStyle w:val="List2"/>
              <w:rPr>
                <w:lang w:val="en-NZ"/>
              </w:rPr>
            </w:pPr>
            <w:r w:rsidRPr="008D2909">
              <w:t>2.2</w:t>
            </w:r>
            <w:r w:rsidRPr="008D2909">
              <w:tab/>
              <w:t xml:space="preserve">Targets are identified and </w:t>
            </w:r>
            <w:r w:rsidRPr="008D2909">
              <w:rPr>
                <w:rStyle w:val="BoldandItalics"/>
              </w:rPr>
              <w:t>engaged</w:t>
            </w:r>
            <w:r w:rsidRPr="008D2909">
              <w:t xml:space="preserve"> as required by the </w:t>
            </w:r>
            <w:r w:rsidRPr="008D2909">
              <w:rPr>
                <w:rStyle w:val="BoldandItalics"/>
              </w:rPr>
              <w:t>operational environment</w:t>
            </w:r>
            <w:r w:rsidRPr="008D2909">
              <w:t xml:space="preserve"> and in accordance with standard procedures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List"/>
              <w:rPr>
                <w:lang w:val="en-NZ"/>
              </w:rPr>
            </w:pPr>
            <w:r w:rsidRPr="008D2909">
              <w:t>3.</w:t>
            </w:r>
            <w:r w:rsidRPr="008D2909">
              <w:tab/>
            </w:r>
            <w:r w:rsidRPr="008D2909">
              <w:rPr>
                <w:rStyle w:val="SpecialBold"/>
              </w:rPr>
              <w:t>Maintain and stow grenades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List2"/>
            </w:pPr>
            <w:r w:rsidRPr="008D2909">
              <w:t>3.1</w:t>
            </w:r>
            <w:r w:rsidRPr="008D2909">
              <w:tab/>
              <w:t>Grenade and associated equipment are cleaned and serviced in all operational</w:t>
            </w:r>
            <w:r w:rsidRPr="008D2909">
              <w:t xml:space="preserve"> conditions</w:t>
            </w:r>
          </w:p>
          <w:p w:rsidR="00000000" w:rsidP="008D2909">
            <w:pPr>
              <w:pStyle w:val="List2"/>
              <w:rPr>
                <w:lang w:val="en-NZ"/>
              </w:rPr>
            </w:pPr>
            <w:r w:rsidRPr="008D2909">
              <w:t>3.2</w:t>
            </w:r>
            <w:r w:rsidRPr="008D2909">
              <w:tab/>
            </w:r>
            <w:r w:rsidRPr="008D2909">
              <w:rPr>
                <w:rStyle w:val="BoldandItalics"/>
              </w:rPr>
              <w:t>Defects</w:t>
            </w:r>
            <w:r w:rsidRPr="008D2909">
              <w:t xml:space="preserve"> are identified and reported to supervisor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9" w:name="O_119411"/>
      <w:bookmarkEnd w:id="9"/>
      <w:r w:rsidRPr="008D290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REQUIRED SKILLS AND KNOWLEDGE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This describes the essential skills and knowledge and their level, required for this unit.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Required Skills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ListBullet"/>
            </w:pPr>
            <w:r w:rsidRPr="008D2909">
              <w:t>achieve the required effects</w:t>
            </w:r>
          </w:p>
          <w:p w:rsidR="00000000" w:rsidRPr="008D2909" w:rsidP="008D2909">
            <w:pPr>
              <w:pStyle w:val="ListBullet"/>
            </w:pPr>
            <w:r w:rsidRPr="008D2909">
              <w:t>apply battlecraft aggressively</w:t>
            </w:r>
          </w:p>
          <w:p w:rsidR="00000000" w:rsidRPr="008D2909" w:rsidP="008D2909">
            <w:pPr>
              <w:pStyle w:val="ListBullet"/>
            </w:pPr>
            <w:r w:rsidRPr="008D2909">
              <w:t>apply fieldcraft skills</w:t>
            </w:r>
          </w:p>
          <w:p w:rsidR="00000000" w:rsidRPr="008D2909" w:rsidP="008D2909">
            <w:pPr>
              <w:pStyle w:val="ListBullet"/>
            </w:pPr>
            <w:r w:rsidRPr="008D2909">
              <w:t>apply recognised safety precautions</w:t>
            </w:r>
          </w:p>
          <w:p w:rsidR="00000000" w:rsidRPr="008D2909" w:rsidP="008D2909">
            <w:pPr>
              <w:pStyle w:val="ListBullet"/>
            </w:pPr>
            <w:r w:rsidRPr="008D2909">
              <w:t>handle grenades safely in an operational environment</w:t>
            </w:r>
          </w:p>
          <w:p w:rsidR="00000000" w:rsidRPr="008D2909" w:rsidP="008D2909">
            <w:pPr>
              <w:pStyle w:val="ListBullet"/>
            </w:pPr>
            <w:r w:rsidRPr="008D2909">
              <w:t>interpret fire control orders</w:t>
            </w:r>
          </w:p>
          <w:p w:rsidR="00000000" w:rsidP="008D2909">
            <w:pPr>
              <w:pStyle w:val="ListBullet"/>
              <w:rPr>
                <w:lang w:val="en-NZ"/>
              </w:rPr>
            </w:pPr>
            <w:r w:rsidRPr="008D2909">
              <w:t>work in a team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Required Knowledge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ListBullet"/>
            </w:pPr>
            <w:r w:rsidRPr="008D2909">
              <w:t xml:space="preserve">battlecraft </w:t>
            </w:r>
          </w:p>
          <w:p w:rsidR="00000000" w:rsidRPr="008D2909" w:rsidP="008D2909">
            <w:pPr>
              <w:pStyle w:val="ListBullet"/>
            </w:pPr>
            <w:r w:rsidRPr="008D2909">
              <w:t>characteristics, technical capabilities, effects, employment and limitations of the grenade</w:t>
            </w:r>
          </w:p>
          <w:p w:rsidR="00000000" w:rsidRPr="008D2909" w:rsidP="008D2909">
            <w:pPr>
              <w:pStyle w:val="ListBullet"/>
            </w:pPr>
            <w:r w:rsidRPr="008D2909">
              <w:t>fieldcraft</w:t>
            </w:r>
          </w:p>
          <w:p w:rsidR="00000000" w:rsidRPr="008D2909" w:rsidP="008D2909">
            <w:pPr>
              <w:pStyle w:val="ListBullet"/>
            </w:pPr>
            <w:r w:rsidRPr="008D2909">
              <w:t>fire control orders</w:t>
            </w:r>
          </w:p>
          <w:p w:rsidR="00000000" w:rsidRPr="008D2909" w:rsidP="008D2909">
            <w:pPr>
              <w:pStyle w:val="ListBullet"/>
            </w:pPr>
            <w:r w:rsidRPr="008D2909">
              <w:t>grenade drills</w:t>
            </w:r>
          </w:p>
          <w:p w:rsidR="00000000" w:rsidRPr="008D2909" w:rsidP="008D2909">
            <w:pPr>
              <w:pStyle w:val="ListBullet"/>
            </w:pPr>
            <w:r w:rsidRPr="008D2909">
              <w:t>OH&amp;S requirements</w:t>
            </w:r>
          </w:p>
          <w:p w:rsidR="00000000" w:rsidRPr="008D2909" w:rsidP="008D2909">
            <w:pPr>
              <w:pStyle w:val="ListBullet"/>
            </w:pPr>
            <w:r w:rsidRPr="008D2909">
              <w:t>recognised safety precautions</w:t>
            </w:r>
          </w:p>
          <w:p w:rsidR="00000000" w:rsidRPr="008D2909" w:rsidP="008D2909">
            <w:pPr>
              <w:pStyle w:val="ListBullet"/>
            </w:pPr>
            <w:r w:rsidRPr="008D2909">
              <w:t>target indications</w:t>
            </w:r>
          </w:p>
          <w:p w:rsidR="00000000" w:rsidP="008D2909">
            <w:pPr>
              <w:pStyle w:val="ListBullet"/>
              <w:rPr>
                <w:lang w:val="en-NZ"/>
              </w:rPr>
            </w:pPr>
            <w:r w:rsidRPr="008D2909">
              <w:t>team work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10" w:name="O_119412"/>
      <w:bookmarkEnd w:id="10"/>
      <w:r w:rsidRPr="008D290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 xml:space="preserve">Assessment must confirm the ability to complete all grenade drills as listed in the Range Statement; to throw the high explosive (HE) grenade </w:t>
            </w:r>
            <w:r w:rsidRPr="008D2909">
              <w:t>from all positions listed in the Range Statement; to work as part of a team; and to recognise limit of own authority.</w:t>
            </w:r>
          </w:p>
          <w:p w:rsidR="00000000" w:rsidRPr="008D2909" w:rsidP="008D2909">
            <w:pPr>
              <w:pStyle w:val="BodyText"/>
            </w:pPr>
          </w:p>
          <w:p w:rsidR="00000000" w:rsidRPr="008D2909" w:rsidP="008D2909">
            <w:pPr>
              <w:pStyle w:val="BodyText"/>
            </w:pPr>
            <w:r w:rsidRPr="008D2909">
              <w:rPr>
                <w:rStyle w:val="SpecialBold"/>
              </w:rPr>
              <w:t>Consistency in performance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Competency should be demonstrated over time and in a range of actual live firing contexts.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rPr>
                <w:rStyle w:val="SpecialBold"/>
              </w:rPr>
              <w:t>Context of and spe</w:t>
            </w:r>
            <w:r w:rsidRPr="008D2909">
              <w:rPr>
                <w:rStyle w:val="SpecialBold"/>
              </w:rPr>
              <w:t>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rPr>
                <w:rStyle w:val="SpecialBold"/>
              </w:rPr>
              <w:t>Context of assessment</w:t>
            </w:r>
          </w:p>
          <w:p w:rsidR="00000000" w:rsidRPr="008D2909" w:rsidP="008D2909">
            <w:pPr>
              <w:pStyle w:val="BodyText"/>
            </w:pPr>
            <w:r w:rsidRPr="008D2909">
              <w:t>Competency should be assessed using HE grenades and in a simulated operational threat environment. The grenade thrower should be exposed to the extremes of the operational environment where a person is u</w:t>
            </w:r>
            <w:r w:rsidRPr="008D2909">
              <w:t>nder physical and mental stress. The context of assessment is simulated due to the nature of this high-risk environment.</w:t>
            </w:r>
          </w:p>
          <w:p w:rsidR="00000000" w:rsidRPr="008D2909" w:rsidP="008D2909">
            <w:pPr>
              <w:pStyle w:val="BodyText"/>
            </w:pPr>
            <w:r w:rsidRPr="008D2909">
              <w:rPr>
                <w:rStyle w:val="SpecialBold"/>
              </w:rPr>
              <w:t>Specific resources for assessment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Access to grenades and a simulated operational environment.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Guidance information for assessment</w:t>
            </w:r>
            <w:r w:rsidRPr="008D2909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11" w:name="O_119413"/>
      <w:bookmarkEnd w:id="11"/>
      <w:r w:rsidRPr="008D290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RANGE STATEMENT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The Range Statement relates to the Unit of Competency as a whol</w:t>
            </w:r>
            <w:r w:rsidRPr="008D2909">
              <w:t xml:space="preserve">e. It allows for different work environments and situations that may affect performance. </w:t>
            </w:r>
            <w:r w:rsidRPr="008D2909">
              <w:rPr>
                <w:rStyle w:val="BoldandItalics"/>
              </w:rPr>
              <w:t>Bold italicised</w:t>
            </w:r>
            <w:r w:rsidRPr="008D2909">
              <w:t xml:space="preserve"> wording in the Performance Criteria is detailed below.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Grenades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Drill</w:t>
            </w:r>
          </w:p>
          <w:p w:rsidR="00000000" w:rsidRPr="008D2909" w:rsidP="008D2909">
            <w:pPr>
              <w:pStyle w:val="BodyText"/>
            </w:pPr>
            <w:r w:rsidRPr="008D2909">
              <w:t>Fragmentation</w:t>
            </w:r>
          </w:p>
          <w:p w:rsidR="00000000" w:rsidRPr="008D2909" w:rsidP="008D2909">
            <w:pPr>
              <w:pStyle w:val="BodyText"/>
            </w:pPr>
            <w:r w:rsidRPr="008D2909">
              <w:t>High explosive</w:t>
            </w:r>
          </w:p>
          <w:p w:rsidR="00000000" w:rsidRPr="008D2909" w:rsidP="008D2909">
            <w:pPr>
              <w:pStyle w:val="BodyText"/>
            </w:pPr>
            <w:r w:rsidRPr="008D2909">
              <w:t>Practice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White phosphorus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Australian Standards</w:t>
            </w:r>
          </w:p>
          <w:p w:rsidR="00000000" w:rsidRPr="008D2909" w:rsidP="008D2909">
            <w:pPr>
              <w:pStyle w:val="BodyText"/>
            </w:pPr>
            <w:r w:rsidRPr="008D2909">
              <w:t>Defence Instructions</w:t>
            </w:r>
          </w:p>
          <w:p w:rsidR="00000000" w:rsidRPr="008D2909" w:rsidP="008D2909">
            <w:pPr>
              <w:pStyle w:val="BodyText"/>
            </w:pPr>
            <w:r w:rsidRPr="008D2909">
              <w:t>Doctrinal pamphlets</w:t>
            </w:r>
          </w:p>
          <w:p w:rsidR="00000000" w:rsidRPr="008D2909" w:rsidP="008D2909">
            <w:pPr>
              <w:pStyle w:val="BodyText"/>
            </w:pPr>
            <w:r w:rsidRPr="008D2909">
              <w:t>Job guides, other publications</w:t>
            </w:r>
          </w:p>
          <w:p w:rsidR="00000000" w:rsidRPr="008D2909" w:rsidP="008D2909">
            <w:pPr>
              <w:pStyle w:val="BodyText"/>
            </w:pPr>
            <w:r w:rsidRPr="008D2909">
              <w:t>Manufacturers' handbooks, industry specifications and technical instructions</w:t>
            </w:r>
          </w:p>
          <w:p w:rsidR="00000000" w:rsidRPr="008D2909" w:rsidP="008D2909">
            <w:pPr>
              <w:pStyle w:val="BodyText"/>
            </w:pPr>
            <w:r w:rsidRPr="008D2909">
              <w:t>OH&amp;S regulations</w:t>
            </w:r>
          </w:p>
          <w:p w:rsidR="00000000" w:rsidRPr="008D2909" w:rsidP="008D2909">
            <w:pPr>
              <w:pStyle w:val="BodyText"/>
            </w:pPr>
            <w:r w:rsidRPr="008D2909">
              <w:t xml:space="preserve">Organisational policies and procedures </w:t>
            </w:r>
          </w:p>
          <w:p w:rsidR="00000000" w:rsidRPr="008D2909" w:rsidP="008D2909">
            <w:pPr>
              <w:pStyle w:val="BodyText"/>
            </w:pPr>
            <w:r w:rsidRPr="008D2909">
              <w:t>Procedure manuals</w:t>
            </w:r>
          </w:p>
          <w:p w:rsidR="00000000" w:rsidRPr="008D2909" w:rsidP="008D2909">
            <w:pPr>
              <w:pStyle w:val="BodyText"/>
            </w:pPr>
            <w:r w:rsidRPr="008D2909">
              <w:t>Relevant local government by-laws</w:t>
            </w:r>
          </w:p>
          <w:p w:rsidR="00000000" w:rsidRPr="008D2909" w:rsidP="008D2909">
            <w:pPr>
              <w:pStyle w:val="BodyText"/>
            </w:pPr>
            <w:r w:rsidRPr="008D2909">
              <w:t>Relevant state/territory or federal legislation</w:t>
            </w:r>
          </w:p>
          <w:p w:rsidR="00000000" w:rsidRPr="008D2909" w:rsidP="008D2909">
            <w:pPr>
              <w:pStyle w:val="BodyText"/>
            </w:pPr>
            <w:r w:rsidRPr="008D2909">
              <w:t>Routine Orders</w:t>
            </w:r>
          </w:p>
          <w:p w:rsidR="00000000" w:rsidRPr="008D2909" w:rsidP="008D2909">
            <w:pPr>
              <w:pStyle w:val="BodyText"/>
            </w:pPr>
            <w:r w:rsidRPr="008D2909">
              <w:t>Standing Operating Procedures</w:t>
            </w:r>
          </w:p>
          <w:p w:rsidR="00000000" w:rsidRPr="008D2909" w:rsidP="008D2909">
            <w:pPr>
              <w:pStyle w:val="BodyText"/>
            </w:pPr>
            <w:r w:rsidRPr="008D2909">
              <w:t>Standing Orders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Written and verbal orders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Grenade identification may i</w:t>
            </w:r>
            <w:r w:rsidRPr="008D2909">
              <w:rPr>
                <w:rStyle w:val="SpecialBold"/>
              </w:rPr>
              <w:t>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Colour</w:t>
            </w:r>
          </w:p>
          <w:p w:rsidR="00000000" w:rsidRPr="008D2909" w:rsidP="008D2909">
            <w:pPr>
              <w:pStyle w:val="BodyText"/>
            </w:pPr>
            <w:r w:rsidRPr="008D2909">
              <w:t>Hazard band</w:t>
            </w:r>
          </w:p>
          <w:p w:rsidR="00000000" w:rsidRPr="008D2909" w:rsidP="008D2909">
            <w:pPr>
              <w:pStyle w:val="BodyText"/>
            </w:pPr>
            <w:r w:rsidRPr="008D2909">
              <w:t>Markings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Shape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Throwing positions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Kneeling</w:t>
            </w:r>
          </w:p>
          <w:p w:rsidR="00000000" w:rsidRPr="008D2909" w:rsidP="008D2909">
            <w:pPr>
              <w:pStyle w:val="BodyText"/>
            </w:pPr>
            <w:r w:rsidRPr="008D2909">
              <w:t>Lying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Standing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Grenade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Safety precautions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Throwing drills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Engagement of the target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Destruction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Suppression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Operational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All seasons weather and terrain</w:t>
            </w:r>
          </w:p>
          <w:p w:rsidR="00000000" w:rsidRPr="008D2909" w:rsidP="008D2909">
            <w:pPr>
              <w:pStyle w:val="BodyText"/>
            </w:pPr>
            <w:r w:rsidRPr="008D2909">
              <w:t>Day</w:t>
            </w:r>
          </w:p>
          <w:p w:rsidR="00000000" w:rsidRPr="008D2909" w:rsidP="008D2909">
            <w:pPr>
              <w:pStyle w:val="BodyText"/>
            </w:pPr>
            <w:r w:rsidRPr="008D2909">
              <w:t>Extreme stress</w:t>
            </w:r>
          </w:p>
          <w:p w:rsidR="00000000" w:rsidRPr="008D2909" w:rsidP="008D2909">
            <w:pPr>
              <w:pStyle w:val="BodyText"/>
            </w:pPr>
            <w:r w:rsidRPr="008D2909">
              <w:t>Night</w:t>
            </w:r>
          </w:p>
          <w:p w:rsidR="00000000" w:rsidRPr="008D2909" w:rsidP="008D2909">
            <w:pPr>
              <w:pStyle w:val="BodyText"/>
            </w:pPr>
            <w:r w:rsidRPr="008D2909">
              <w:t>Primitive conditions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Under threat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Cracks</w:t>
            </w:r>
          </w:p>
          <w:p w:rsidR="00000000" w:rsidRPr="008D2909" w:rsidP="008D2909">
            <w:pPr>
              <w:pStyle w:val="BodyText"/>
            </w:pPr>
            <w:r w:rsidRPr="008D2909">
              <w:t>Faulty pins</w:t>
            </w:r>
          </w:p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t>Incorrect packaging</w:t>
            </w:r>
          </w:p>
        </w:tc>
      </w:tr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</w:p>
        </w:tc>
      </w:tr>
    </w:tbl>
    <w:p w:rsidR="00000000" w:rsidRPr="008D2909" w:rsidP="008D2909">
      <w:pPr>
        <w:pStyle w:val="BodyText"/>
      </w:pP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12" w:name="O_119414"/>
      <w:bookmarkEnd w:id="12"/>
      <w:r w:rsidRPr="008D2909">
        <w:t>Unit Sector(s)</w:t>
      </w:r>
    </w:p>
    <w:p w:rsidR="00000000" w:rsidRPr="008D2909" w:rsidP="008D2909">
      <w:pPr>
        <w:pStyle w:val="BodyText"/>
      </w:pPr>
      <w:r w:rsidRPr="008D2909">
        <w:t>Not applicable.</w:t>
      </w:r>
    </w:p>
    <w:p w:rsidR="00000000" w:rsidRPr="008D2909" w:rsidP="008D2909">
      <w:pPr>
        <w:pStyle w:val="AllowPageBreak"/>
      </w:pPr>
    </w:p>
    <w:p w:rsidR="00000000" w:rsidRPr="008D2909" w:rsidP="008D2909">
      <w:pPr>
        <w:pStyle w:val="Heading1"/>
      </w:pPr>
      <w:bookmarkStart w:id="13" w:name="O_174833"/>
      <w:bookmarkEnd w:id="13"/>
      <w:r w:rsidRPr="008D290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7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909">
            <w:pPr>
              <w:pStyle w:val="BodyText"/>
              <w:rPr>
                <w:lang w:val="en-NZ"/>
              </w:rPr>
            </w:pPr>
            <w:r w:rsidRPr="008D2909">
              <w:rPr>
                <w:rStyle w:val="SpecialBold"/>
              </w:rPr>
              <w:t>Co-requisite Unit</w:t>
            </w:r>
            <w:r w:rsidRPr="008D2909">
              <w:t>/</w:t>
            </w:r>
            <w:r w:rsidRPr="008D290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909" w:rsidP="008D2909">
            <w:pPr>
              <w:pStyle w:val="BodyText"/>
            </w:pPr>
            <w:r w:rsidRPr="008D2909">
              <w:t>Nil</w:t>
            </w:r>
          </w:p>
        </w:tc>
      </w:tr>
    </w:tbl>
    <w:p w:rsidR="00000000" w:rsidRPr="008D2909" w:rsidP="008D2909">
      <w:pPr>
        <w:pStyle w:val="BodyText"/>
      </w:pPr>
    </w:p>
    <w:p w:rsidR="00000000" w:rsidRPr="008D2909" w:rsidP="008D2909"/>
    <w:sectPr w:rsidSect="008D29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7D96" w:rsidP="00567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96" w:rsidP="008D2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7D96" w:rsidP="008D2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67D96" w:rsidP="008D290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7D96" w:rsidP="00567D9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96" w:rsidP="008D2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PUADEFCA410B Throw grenades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567D96" w:rsidP="008D290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8C1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9E2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D2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909"/>
  </w:style>
  <w:style w:type="character" w:customStyle="1" w:styleId="Heading1Char">
    <w:name w:val="Heading 1 Char"/>
    <w:basedOn w:val="DefaultParagraphFont"/>
    <w:link w:val="Heading1"/>
    <w:rsid w:val="008D2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9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90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D2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90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D29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29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909"/>
    <w:rPr>
      <w:b/>
      <w:spacing w:val="0"/>
    </w:rPr>
  </w:style>
  <w:style w:type="paragraph" w:styleId="Header">
    <w:name w:val="header"/>
    <w:basedOn w:val="Normal"/>
    <w:link w:val="HeaderChar"/>
    <w:rsid w:val="008D2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D290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D2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D290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D290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D2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9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D290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D290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D2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D2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9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2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9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90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D2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9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2909"/>
    <w:rPr>
      <w:i/>
    </w:rPr>
  </w:style>
  <w:style w:type="paragraph" w:styleId="Caption">
    <w:name w:val="caption"/>
    <w:basedOn w:val="BodyText"/>
    <w:next w:val="Normal"/>
    <w:qFormat/>
    <w:rsid w:val="008D2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909"/>
  </w:style>
  <w:style w:type="paragraph" w:styleId="TableofFigures">
    <w:name w:val="table of figures"/>
    <w:basedOn w:val="Normal"/>
    <w:next w:val="Normal"/>
    <w:semiHidden/>
    <w:rsid w:val="008D2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909"/>
    <w:pPr>
      <w:numPr>
        <w:numId w:val="10"/>
      </w:numPr>
    </w:pPr>
  </w:style>
  <w:style w:type="character" w:customStyle="1" w:styleId="WingdingSymbols">
    <w:name w:val="Wingding Symbols"/>
    <w:rsid w:val="008D2909"/>
    <w:rPr>
      <w:rFonts w:ascii="Wingdings" w:hAnsi="Wingdings"/>
    </w:rPr>
  </w:style>
  <w:style w:type="paragraph" w:customStyle="1" w:styleId="TableHeading">
    <w:name w:val="Table Heading"/>
    <w:basedOn w:val="HeadingBase"/>
    <w:rsid w:val="008D2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909"/>
    <w:rPr>
      <w:color w:val="0033CC"/>
      <w:u w:val="none"/>
    </w:rPr>
  </w:style>
  <w:style w:type="paragraph" w:customStyle="1" w:styleId="BodyTextRight">
    <w:name w:val="Body Text Right"/>
    <w:basedOn w:val="BodyText"/>
    <w:rsid w:val="008D2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90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D2909"/>
    <w:rPr>
      <w:sz w:val="32"/>
    </w:rPr>
  </w:style>
  <w:style w:type="paragraph" w:customStyle="1" w:styleId="HeadingProcedure">
    <w:name w:val="Heading Procedure"/>
    <w:basedOn w:val="HeadingBase"/>
    <w:next w:val="Normal"/>
    <w:rsid w:val="008D2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909"/>
    <w:pPr>
      <w:spacing w:before="60" w:after="60"/>
    </w:pPr>
  </w:style>
  <w:style w:type="paragraph" w:styleId="ListContinue">
    <w:name w:val="List Continue"/>
    <w:basedOn w:val="List"/>
    <w:rsid w:val="008D2909"/>
    <w:pPr>
      <w:ind w:firstLine="0"/>
    </w:pPr>
  </w:style>
  <w:style w:type="paragraph" w:customStyle="1" w:styleId="ListNote">
    <w:name w:val="List Note"/>
    <w:basedOn w:val="List"/>
    <w:rsid w:val="008D2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909"/>
    <w:rPr>
      <w:rFonts w:ascii="Courier New" w:hAnsi="Courier New"/>
    </w:rPr>
  </w:style>
  <w:style w:type="paragraph" w:customStyle="1" w:styleId="NoteBullet">
    <w:name w:val="Note Bullet"/>
    <w:basedOn w:val="Note"/>
    <w:rsid w:val="008D2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9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90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D2909"/>
    <w:rPr>
      <w:b/>
      <w:smallCaps/>
    </w:rPr>
  </w:style>
  <w:style w:type="paragraph" w:customStyle="1" w:styleId="TableListNumber">
    <w:name w:val="Table List Number"/>
    <w:basedOn w:val="ListNumber"/>
    <w:rsid w:val="008D2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909"/>
    <w:pPr>
      <w:numPr>
        <w:numId w:val="8"/>
      </w:numPr>
    </w:pPr>
  </w:style>
  <w:style w:type="paragraph" w:customStyle="1" w:styleId="ListAlpha2">
    <w:name w:val="List Alpha 2"/>
    <w:basedOn w:val="List2"/>
    <w:rsid w:val="008D2909"/>
    <w:pPr>
      <w:numPr>
        <w:numId w:val="7"/>
      </w:numPr>
    </w:pPr>
  </w:style>
  <w:style w:type="paragraph" w:styleId="List3">
    <w:name w:val="List 3"/>
    <w:basedOn w:val="BodyText"/>
    <w:rsid w:val="008D2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9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909"/>
    <w:pPr>
      <w:numPr>
        <w:numId w:val="2"/>
      </w:numPr>
    </w:pPr>
  </w:style>
  <w:style w:type="paragraph" w:styleId="ListBullet5">
    <w:name w:val="List Bullet 5"/>
    <w:basedOn w:val="List5"/>
    <w:rsid w:val="008D2909"/>
    <w:pPr>
      <w:numPr>
        <w:numId w:val="3"/>
      </w:numPr>
    </w:pPr>
  </w:style>
  <w:style w:type="paragraph" w:styleId="ListContinue2">
    <w:name w:val="List Continue 2"/>
    <w:basedOn w:val="List2"/>
    <w:rsid w:val="008D2909"/>
    <w:pPr>
      <w:ind w:firstLine="0"/>
    </w:pPr>
  </w:style>
  <w:style w:type="paragraph" w:styleId="ListContinue3">
    <w:name w:val="List Continue 3"/>
    <w:basedOn w:val="List3"/>
    <w:rsid w:val="008D2909"/>
    <w:pPr>
      <w:ind w:left="1021" w:firstLine="0"/>
    </w:pPr>
  </w:style>
  <w:style w:type="paragraph" w:styleId="ListContinue4">
    <w:name w:val="List Continue 4"/>
    <w:basedOn w:val="List4"/>
    <w:rsid w:val="008D2909"/>
    <w:pPr>
      <w:ind w:firstLine="0"/>
    </w:pPr>
  </w:style>
  <w:style w:type="paragraph" w:styleId="ListContinue5">
    <w:name w:val="List Continue 5"/>
    <w:basedOn w:val="List5"/>
    <w:rsid w:val="008D2909"/>
    <w:pPr>
      <w:ind w:firstLine="0"/>
    </w:pPr>
  </w:style>
  <w:style w:type="paragraph" w:styleId="ListNumber3">
    <w:name w:val="List Number 3"/>
    <w:basedOn w:val="List3"/>
    <w:rsid w:val="008D2909"/>
    <w:pPr>
      <w:numPr>
        <w:numId w:val="4"/>
      </w:numPr>
    </w:pPr>
  </w:style>
  <w:style w:type="paragraph" w:styleId="ListNumber4">
    <w:name w:val="List Number 4"/>
    <w:basedOn w:val="List4"/>
    <w:rsid w:val="008D2909"/>
    <w:pPr>
      <w:numPr>
        <w:numId w:val="5"/>
      </w:numPr>
    </w:pPr>
  </w:style>
  <w:style w:type="paragraph" w:styleId="ListNumber5">
    <w:name w:val="List Number 5"/>
    <w:basedOn w:val="List5"/>
    <w:rsid w:val="008D2909"/>
    <w:pPr>
      <w:numPr>
        <w:numId w:val="6"/>
      </w:numPr>
    </w:pPr>
  </w:style>
  <w:style w:type="paragraph" w:styleId="BlockText">
    <w:name w:val="Block Text"/>
    <w:basedOn w:val="Normal"/>
    <w:rsid w:val="008D2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909"/>
    <w:rPr>
      <w:sz w:val="16"/>
      <w:vertAlign w:val="superscript"/>
    </w:rPr>
  </w:style>
  <w:style w:type="character" w:customStyle="1" w:styleId="Symbols">
    <w:name w:val="Symbols"/>
    <w:basedOn w:val="DefaultParagraphFont"/>
    <w:rsid w:val="008D2909"/>
    <w:rPr>
      <w:rFonts w:ascii="Symbol" w:hAnsi="Symbol"/>
    </w:rPr>
  </w:style>
  <w:style w:type="character" w:customStyle="1" w:styleId="MenuOptions">
    <w:name w:val="Menu Options"/>
    <w:basedOn w:val="DefaultParagraphFont"/>
    <w:rsid w:val="008D2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909"/>
    <w:rPr>
      <w:b/>
    </w:rPr>
  </w:style>
  <w:style w:type="character" w:customStyle="1" w:styleId="Underlined">
    <w:name w:val="Underlined"/>
    <w:basedOn w:val="DefaultParagraphFont"/>
    <w:rsid w:val="008D2909"/>
    <w:rPr>
      <w:u w:val="single"/>
    </w:rPr>
  </w:style>
  <w:style w:type="paragraph" w:customStyle="1" w:styleId="TableBodyTextRight">
    <w:name w:val="Table Body Text Right"/>
    <w:basedOn w:val="TableBodyText"/>
    <w:rsid w:val="008D2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909"/>
    <w:rPr>
      <w:sz w:val="18"/>
    </w:rPr>
  </w:style>
  <w:style w:type="paragraph" w:customStyle="1" w:styleId="BodySmallRight">
    <w:name w:val="Body Small Right"/>
    <w:basedOn w:val="BodyTextRight"/>
    <w:rsid w:val="008D2909"/>
    <w:rPr>
      <w:sz w:val="18"/>
      <w:szCs w:val="18"/>
    </w:rPr>
  </w:style>
  <w:style w:type="paragraph" w:customStyle="1" w:styleId="MarginEdition">
    <w:name w:val="Margin Edition"/>
    <w:basedOn w:val="MarginNote"/>
    <w:rsid w:val="008D2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909"/>
    <w:rPr>
      <w:sz w:val="2"/>
      <w:szCs w:val="2"/>
    </w:rPr>
  </w:style>
  <w:style w:type="character" w:customStyle="1" w:styleId="Small">
    <w:name w:val="Small"/>
    <w:basedOn w:val="DefaultParagraphFont"/>
    <w:rsid w:val="008D2909"/>
    <w:rPr>
      <w:sz w:val="16"/>
    </w:rPr>
  </w:style>
  <w:style w:type="paragraph" w:customStyle="1" w:styleId="WideTable">
    <w:name w:val="Wide Table"/>
    <w:basedOn w:val="Normal"/>
    <w:rsid w:val="008D2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909"/>
  </w:style>
  <w:style w:type="paragraph" w:styleId="Quote">
    <w:name w:val="Quote"/>
    <w:basedOn w:val="Heading1"/>
    <w:link w:val="QuoteChar"/>
    <w:qFormat/>
    <w:rsid w:val="008D2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909"/>
    <w:pPr>
      <w:pageBreakBefore/>
    </w:pPr>
  </w:style>
  <w:style w:type="paragraph" w:customStyle="1" w:styleId="Border">
    <w:name w:val="Border"/>
    <w:basedOn w:val="Normal"/>
    <w:qFormat/>
    <w:rsid w:val="008D2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90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D2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909"/>
    <w:rPr>
      <w:u w:val="single"/>
    </w:rPr>
  </w:style>
  <w:style w:type="paragraph" w:styleId="BalloonText">
    <w:name w:val="Balloon Text"/>
    <w:basedOn w:val="Normal"/>
    <w:link w:val="BalloonTextChar"/>
    <w:rsid w:val="008D2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90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D29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90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748</Words>
  <Characters>4606</Characters>
  <Application>Microsoft Office Word</Application>
  <DocSecurity>0</DocSecurity>
  <Lines>217</Lines>
  <Paragraphs>126</Paragraphs>
  <ScaleCrop>false</ScaleCrop>
  <Company>Author-it Software Corporation Ltd.</Company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PUADEFCA410B Throw grenades on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2012-05-26T04:08:00Z</dcterms:created>
  <dcterms:modified xsi:type="dcterms:W3CDTF">2012-05-26T04:08:00Z</dcterms:modified>
</cp:coreProperties>
</file>