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F151E" w:rsidP="006F151E">
      <w:pPr>
        <w:pStyle w:val="Title"/>
      </w:pPr>
      <w:r>
        <w:fldChar w:fldCharType="begin"/>
      </w:r>
      <w:r>
        <w:instrText xml:space="preserve"> TITLE   \* MERGEFORMAT </w:instrText>
      </w:r>
      <w:r>
        <w:fldChar w:fldCharType="separate"/>
      </w:r>
      <w:r>
        <w:t>PUADEFCA403B Undertake offensive operations</w:t>
      </w:r>
      <w:r>
        <w:fldChar w:fldCharType="end"/>
      </w:r>
    </w:p>
    <w:p w:rsidR="006F151E" w:rsidP="006F151E">
      <w:pPr>
        <w:pStyle w:val="Version"/>
        <w:sectPr w:rsidSect="00B11B8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B11B86" w:rsidP="00B11B86">
      <w:pPr>
        <w:pStyle w:val="SuperHeading"/>
      </w:pPr>
      <w:r w:rsidRPr="00B11B86">
        <w:t>PUADEFCA403B Undertake offensive operations</w:t>
      </w:r>
    </w:p>
    <w:p w:rsidR="00000000" w:rsidRPr="00B11B86" w:rsidP="00B11B86">
      <w:pPr>
        <w:pStyle w:val="SuperHeading"/>
      </w:pPr>
    </w:p>
    <w:p w:rsidR="00000000" w:rsidRPr="00B11B86" w:rsidP="00B11B86">
      <w:pPr>
        <w:pStyle w:val="Heading1"/>
      </w:pPr>
      <w:bookmarkStart w:id="1" w:name="O_119319"/>
      <w:bookmarkEnd w:id="1"/>
      <w:r w:rsidRPr="00B11B86">
        <w:t>Modification History</w:t>
      </w:r>
    </w:p>
    <w:p w:rsidR="00000000" w:rsidRPr="00B11B86" w:rsidP="00B11B86">
      <w:pPr>
        <w:pStyle w:val="BodyText"/>
      </w:pPr>
      <w:r w:rsidRPr="00B11B86">
        <w:t>Not applicable.</w:t>
      </w:r>
    </w:p>
    <w:p w:rsidR="00000000" w:rsidRPr="00B11B86" w:rsidP="00B11B86">
      <w:pPr>
        <w:pStyle w:val="AllowPageBreak"/>
      </w:pPr>
    </w:p>
    <w:p w:rsidR="00000000" w:rsidRPr="00B11B86" w:rsidP="00B11B86">
      <w:pPr>
        <w:pStyle w:val="Heading1"/>
      </w:pPr>
      <w:bookmarkStart w:id="2" w:name="O_119320"/>
      <w:bookmarkEnd w:id="2"/>
      <w:r w:rsidRPr="00B11B86">
        <w:t>Unit Descriptor</w:t>
      </w:r>
    </w:p>
    <w:tbl>
      <w:tblPr>
        <w:tblW w:w="0" w:type="auto"/>
        <w:tblLayout w:type="fixed"/>
        <w:tblCellMar>
          <w:left w:w="62" w:type="dxa"/>
          <w:right w:w="62" w:type="dxa"/>
        </w:tblCellMar>
        <w:tblLook w:val="0000"/>
      </w:tblPr>
      <w:tblGrid>
        <w:gridCol w:w="3060"/>
        <w:gridCol w:w="5580"/>
      </w:tblGrid>
      <w:tr w:rsidTr="006F151E">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P="00B11B86">
            <w:pPr>
              <w:pStyle w:val="BodyText"/>
              <w:rPr>
                <w:lang w:val="en-NZ"/>
              </w:rPr>
            </w:pPr>
            <w:r w:rsidRPr="00B11B86">
              <w:rPr>
                <w:rStyle w:val="SpecialBold"/>
              </w:rPr>
              <w:t>Unit Descriptor</w:t>
            </w:r>
          </w:p>
        </w:tc>
        <w:tc>
          <w:tcPr>
            <w:tcW w:w="5580" w:type="dxa"/>
            <w:tcBorders>
              <w:top w:val="nil"/>
              <w:left w:val="nil"/>
              <w:bottom w:val="nil"/>
              <w:right w:val="nil"/>
            </w:tcBorders>
            <w:tcMar>
              <w:top w:w="0" w:type="dxa"/>
              <w:left w:w="62" w:type="dxa"/>
              <w:bottom w:w="0" w:type="dxa"/>
              <w:right w:w="62" w:type="dxa"/>
            </w:tcMar>
          </w:tcPr>
          <w:p w:rsidR="00000000" w:rsidRPr="00B11B86" w:rsidP="00B11B86">
            <w:pPr>
              <w:pStyle w:val="BodyText"/>
            </w:pPr>
            <w:r w:rsidRPr="00B11B86">
              <w:t xml:space="preserve">This unit covers the competency required to operate as a </w:t>
            </w:r>
            <w:r w:rsidRPr="00B11B86">
              <w:rPr>
                <w:rStyle w:val="BoldandItalics"/>
              </w:rPr>
              <w:t>team</w:t>
            </w:r>
            <w:r w:rsidRPr="00B11B86">
              <w:t xml:space="preserve"> member during the conduct of </w:t>
            </w:r>
            <w:r w:rsidRPr="00B11B86">
              <w:rPr>
                <w:rStyle w:val="BoldandItalics"/>
              </w:rPr>
              <w:t>offensive oper</w:t>
            </w:r>
            <w:r w:rsidRPr="00B11B86">
              <w:rPr>
                <w:rStyle w:val="BoldandItalics"/>
              </w:rPr>
              <w:t>ations</w:t>
            </w:r>
            <w:r w:rsidRPr="00B11B86">
              <w:t xml:space="preserve"> in the Australian Defence Force (ADF)</w:t>
            </w:r>
          </w:p>
        </w:tc>
      </w:tr>
    </w:tbl>
    <w:p w:rsidR="00000000" w:rsidRPr="00B11B86" w:rsidP="00B11B86">
      <w:pPr>
        <w:pStyle w:val="BodyText"/>
      </w:pPr>
    </w:p>
    <w:p w:rsidR="00000000" w:rsidRPr="00B11B86" w:rsidP="00B11B86">
      <w:pPr>
        <w:pStyle w:val="AllowPageBreak"/>
      </w:pPr>
    </w:p>
    <w:p w:rsidR="00000000" w:rsidRPr="00B11B86" w:rsidP="00B11B86">
      <w:pPr>
        <w:pStyle w:val="Heading1"/>
      </w:pPr>
      <w:bookmarkStart w:id="3" w:name="O_119321"/>
      <w:bookmarkEnd w:id="3"/>
      <w:r w:rsidRPr="00B11B86">
        <w:t>Application of the Unit</w:t>
      </w:r>
    </w:p>
    <w:tbl>
      <w:tblPr>
        <w:tblW w:w="0" w:type="auto"/>
        <w:tblLayout w:type="fixed"/>
        <w:tblCellMar>
          <w:left w:w="62" w:type="dxa"/>
          <w:right w:w="62" w:type="dxa"/>
        </w:tblCellMar>
        <w:tblLook w:val="0000"/>
      </w:tblPr>
      <w:tblGrid>
        <w:gridCol w:w="3060"/>
        <w:gridCol w:w="5580"/>
      </w:tblGrid>
      <w:tr w:rsidTr="006F151E">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B11B86">
            <w:pPr>
              <w:pStyle w:val="BodyText"/>
              <w:rPr>
                <w:lang w:val="en-NZ"/>
              </w:rPr>
            </w:pPr>
            <w:r w:rsidRPr="00B11B86">
              <w:rPr>
                <w:rStyle w:val="SpecialBold"/>
              </w:rPr>
              <w:t>Application of the Unit</w:t>
            </w:r>
          </w:p>
        </w:tc>
        <w:tc>
          <w:tcPr>
            <w:tcW w:w="5580" w:type="dxa"/>
            <w:tcBorders>
              <w:top w:val="nil"/>
              <w:left w:val="nil"/>
              <w:bottom w:val="nil"/>
              <w:right w:val="nil"/>
            </w:tcBorders>
            <w:tcMar>
              <w:top w:w="0" w:type="dxa"/>
              <w:left w:w="62" w:type="dxa"/>
              <w:bottom w:w="0" w:type="dxa"/>
              <w:right w:w="62" w:type="dxa"/>
            </w:tcMar>
          </w:tcPr>
          <w:p w:rsidR="00000000" w:rsidRPr="00B11B86" w:rsidP="00B11B86">
            <w:pPr>
              <w:pStyle w:val="BodyText"/>
            </w:pPr>
            <w:r w:rsidRPr="00B11B86">
              <w:t xml:space="preserve">The application of this unit in the workplace - the environments, complexities and situations involved - will be written during Phase II of </w:t>
            </w:r>
            <w:r w:rsidRPr="00B11B86">
              <w:t>the Review of the PUA00 Public Safety Training Package.</w:t>
            </w:r>
          </w:p>
          <w:p w:rsidR="00000000" w:rsidP="00B11B86">
            <w:pPr>
              <w:pStyle w:val="BodyText"/>
              <w:rPr>
                <w:lang w:val="en-NZ"/>
              </w:rPr>
            </w:pPr>
            <w:r w:rsidRPr="00B11B86">
              <w:t>This text will be useful for the purposes of job descriptions, recruitment advice or job analysis; where possible, it will not be too job specific to allow other industries to import it into other Tra</w:t>
            </w:r>
            <w:r w:rsidRPr="00B11B86">
              <w:t>ining Packages, where feasible.</w:t>
            </w:r>
          </w:p>
        </w:tc>
      </w:tr>
      <w:tr w:rsidTr="006F151E">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nil"/>
              <w:bottom w:val="nil"/>
              <w:right w:val="nil"/>
            </w:tcBorders>
            <w:tcMar>
              <w:top w:w="0" w:type="dxa"/>
              <w:left w:w="62" w:type="dxa"/>
              <w:bottom w:w="0" w:type="dxa"/>
              <w:right w:w="62" w:type="dxa"/>
            </w:tcMar>
          </w:tcPr>
          <w:p w:rsidR="00000000" w:rsidRPr="00B11B86" w:rsidP="00B11B86">
            <w:pPr>
              <w:pStyle w:val="BodyText"/>
            </w:pPr>
          </w:p>
        </w:tc>
      </w:tr>
    </w:tbl>
    <w:p w:rsidR="00000000" w:rsidRPr="00B11B86" w:rsidP="00B11B86">
      <w:pPr>
        <w:pStyle w:val="BodyText"/>
      </w:pPr>
    </w:p>
    <w:p w:rsidR="00000000" w:rsidRPr="00B11B86" w:rsidP="00B11B86">
      <w:pPr>
        <w:pStyle w:val="AllowPageBreak"/>
      </w:pPr>
    </w:p>
    <w:p w:rsidR="00000000" w:rsidRPr="00B11B86" w:rsidP="00B11B86">
      <w:pPr>
        <w:pStyle w:val="Heading1"/>
      </w:pPr>
      <w:bookmarkStart w:id="4" w:name="O_119322"/>
      <w:bookmarkEnd w:id="4"/>
      <w:r w:rsidRPr="00B11B86">
        <w:t>Licensing/Regulatory Information</w:t>
      </w:r>
    </w:p>
    <w:p w:rsidR="00000000" w:rsidRPr="00B11B86" w:rsidP="00B11B86">
      <w:pPr>
        <w:pStyle w:val="BodyText"/>
      </w:pPr>
      <w:r w:rsidRPr="00B11B86">
        <w:t>Not applicable.</w:t>
      </w:r>
    </w:p>
    <w:p w:rsidR="00000000" w:rsidRPr="00B11B86" w:rsidP="00B11B86">
      <w:pPr>
        <w:pStyle w:val="AllowPageBreak"/>
      </w:pPr>
    </w:p>
    <w:p w:rsidR="00000000" w:rsidRPr="00B11B86" w:rsidP="00B11B86">
      <w:pPr>
        <w:pStyle w:val="Heading1"/>
      </w:pPr>
      <w:bookmarkStart w:id="5" w:name="O_119324"/>
      <w:bookmarkEnd w:id="5"/>
      <w:r w:rsidRPr="00B11B86">
        <w:t>Pre-Requisites</w:t>
      </w:r>
    </w:p>
    <w:tbl>
      <w:tblPr>
        <w:tblW w:w="0" w:type="auto"/>
        <w:tblLayout w:type="fixed"/>
        <w:tblCellMar>
          <w:left w:w="62" w:type="dxa"/>
          <w:right w:w="62" w:type="dxa"/>
        </w:tblCellMar>
        <w:tblLook w:val="0000"/>
      </w:tblPr>
      <w:tblGrid>
        <w:gridCol w:w="3060"/>
        <w:gridCol w:w="5580"/>
      </w:tblGrid>
      <w:tr w:rsidTr="006F151E">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P="00B11B86">
            <w:pPr>
              <w:pStyle w:val="BodyText"/>
              <w:rPr>
                <w:lang w:val="en-NZ"/>
              </w:rPr>
            </w:pPr>
            <w:r w:rsidRPr="00B11B86">
              <w:rPr>
                <w:rStyle w:val="SpecialBold"/>
              </w:rPr>
              <w:t>Prerequisite Unit</w:t>
            </w:r>
            <w:r w:rsidRPr="00B11B86">
              <w:t>/</w:t>
            </w:r>
            <w:r w:rsidRPr="00B11B86">
              <w:rPr>
                <w:rStyle w:val="SpecialBold"/>
              </w:rPr>
              <w:t>s</w:t>
            </w:r>
          </w:p>
        </w:tc>
        <w:tc>
          <w:tcPr>
            <w:tcW w:w="5580" w:type="dxa"/>
            <w:tcBorders>
              <w:top w:val="nil"/>
              <w:left w:val="nil"/>
              <w:bottom w:val="nil"/>
              <w:right w:val="nil"/>
            </w:tcBorders>
            <w:tcMar>
              <w:top w:w="0" w:type="dxa"/>
              <w:left w:w="62" w:type="dxa"/>
              <w:bottom w:w="0" w:type="dxa"/>
              <w:right w:w="62" w:type="dxa"/>
            </w:tcMar>
          </w:tcPr>
          <w:p w:rsidR="00000000" w:rsidRPr="00B11B86" w:rsidP="00B11B86">
            <w:pPr>
              <w:pStyle w:val="BodyText"/>
            </w:pPr>
            <w:r w:rsidRPr="00B11B86">
              <w:t>Nil</w:t>
            </w:r>
          </w:p>
        </w:tc>
      </w:tr>
    </w:tbl>
    <w:p w:rsidR="00000000" w:rsidRPr="00B11B86" w:rsidP="00B11B86">
      <w:pPr>
        <w:pStyle w:val="BodyText"/>
      </w:pPr>
    </w:p>
    <w:p w:rsidR="00000000" w:rsidRPr="00B11B86" w:rsidP="00B11B86">
      <w:pPr>
        <w:pStyle w:val="AllowPageBreak"/>
      </w:pPr>
    </w:p>
    <w:p w:rsidR="00000000" w:rsidRPr="00B11B86" w:rsidP="00B11B86">
      <w:pPr>
        <w:pStyle w:val="Heading1"/>
      </w:pPr>
      <w:bookmarkStart w:id="6" w:name="O_119323"/>
      <w:bookmarkEnd w:id="6"/>
      <w:r w:rsidRPr="00B11B86">
        <w:t>Employability Skills Information</w:t>
      </w:r>
    </w:p>
    <w:tbl>
      <w:tblPr>
        <w:tblW w:w="0" w:type="auto"/>
        <w:tblLayout w:type="fixed"/>
        <w:tblCellMar>
          <w:left w:w="62" w:type="dxa"/>
          <w:right w:w="62" w:type="dxa"/>
        </w:tblCellMar>
        <w:tblLook w:val="0000"/>
      </w:tblPr>
      <w:tblGrid>
        <w:gridCol w:w="3060"/>
        <w:gridCol w:w="5580"/>
      </w:tblGrid>
      <w:tr w:rsidTr="006F151E">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P="00B11B86">
            <w:pPr>
              <w:pStyle w:val="BodyText"/>
              <w:rPr>
                <w:lang w:val="en-NZ"/>
              </w:rPr>
            </w:pPr>
            <w:r w:rsidRPr="00B11B86">
              <w:rPr>
                <w:rStyle w:val="SpecialBold"/>
              </w:rPr>
              <w:t>Employability Skills</w:t>
            </w:r>
          </w:p>
        </w:tc>
        <w:tc>
          <w:tcPr>
            <w:tcW w:w="5580" w:type="dxa"/>
            <w:tcBorders>
              <w:top w:val="nil"/>
              <w:left w:val="nil"/>
              <w:bottom w:val="nil"/>
              <w:right w:val="nil"/>
            </w:tcBorders>
            <w:tcMar>
              <w:top w:w="0" w:type="dxa"/>
              <w:left w:w="62" w:type="dxa"/>
              <w:bottom w:w="0" w:type="dxa"/>
              <w:right w:w="62" w:type="dxa"/>
            </w:tcMar>
          </w:tcPr>
          <w:p w:rsidR="00000000" w:rsidRPr="00B11B86" w:rsidP="00B11B86">
            <w:pPr>
              <w:pStyle w:val="BodyText"/>
            </w:pPr>
            <w:r w:rsidRPr="00B11B86">
              <w:t>This unit contains employability skills.</w:t>
            </w:r>
          </w:p>
        </w:tc>
      </w:tr>
    </w:tbl>
    <w:p w:rsidR="00000000" w:rsidRPr="00B11B86" w:rsidP="00B11B86">
      <w:pPr>
        <w:pStyle w:val="BodyText"/>
      </w:pPr>
    </w:p>
    <w:p w:rsidR="00000000" w:rsidRPr="00B11B86" w:rsidP="00B11B86">
      <w:pPr>
        <w:pStyle w:val="AllowPageBreak"/>
      </w:pPr>
    </w:p>
    <w:p w:rsidR="00000000" w:rsidRPr="00B11B86" w:rsidP="00B11B86">
      <w:pPr>
        <w:pStyle w:val="Heading1"/>
      </w:pPr>
      <w:bookmarkStart w:id="7" w:name="O_119325"/>
      <w:bookmarkEnd w:id="7"/>
      <w:r w:rsidRPr="00B11B86">
        <w:t>Elements and Performance Criteria Pre-Content</w:t>
      </w:r>
    </w:p>
    <w:tbl>
      <w:tblPr>
        <w:tblW w:w="0" w:type="auto"/>
        <w:tblLayout w:type="fixed"/>
        <w:tblCellMar>
          <w:left w:w="62" w:type="dxa"/>
          <w:right w:w="62" w:type="dxa"/>
        </w:tblCellMar>
        <w:tblLook w:val="0000"/>
      </w:tblPr>
      <w:tblGrid>
        <w:gridCol w:w="3060"/>
        <w:gridCol w:w="5580"/>
      </w:tblGrid>
      <w:tr w:rsidTr="006F151E">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B11B86">
            <w:pPr>
              <w:pStyle w:val="BodyText"/>
              <w:rPr>
                <w:lang w:val="en-NZ"/>
              </w:rPr>
            </w:pPr>
            <w:r w:rsidRPr="00B11B86">
              <w:t>Elements describe the essential outcomes of a Unit of Competency.</w:t>
            </w:r>
          </w:p>
        </w:tc>
        <w:tc>
          <w:tcPr>
            <w:tcW w:w="5580" w:type="dxa"/>
            <w:tcBorders>
              <w:top w:val="nil"/>
              <w:left w:val="single" w:sz="6" w:space="0" w:color="auto"/>
              <w:bottom w:val="nil"/>
              <w:right w:val="nil"/>
            </w:tcBorders>
            <w:tcMar>
              <w:top w:w="0" w:type="dxa"/>
              <w:left w:w="62" w:type="dxa"/>
              <w:bottom w:w="0" w:type="dxa"/>
              <w:right w:w="62" w:type="dxa"/>
            </w:tcMar>
          </w:tcPr>
          <w:p w:rsidR="00000000" w:rsidRPr="00B11B86" w:rsidP="00B11B86">
            <w:pPr>
              <w:pStyle w:val="BodyText"/>
            </w:pPr>
            <w:r w:rsidRPr="00B11B86">
              <w:t>Performance Criteria describe the required performance needed to demonstrate achieve</w:t>
            </w:r>
            <w:r w:rsidRPr="00B11B86">
              <w:t>ment of the element. Where bold italicised text is used, further information is detailed in the Required Skills and Knowledge and/or the Range Statement. Assessment of performance is to be consistent with the Evidence Guide.</w:t>
            </w:r>
          </w:p>
        </w:tc>
      </w:tr>
    </w:tbl>
    <w:p w:rsidR="00000000" w:rsidRPr="00B11B86" w:rsidP="00B11B86">
      <w:pPr>
        <w:pStyle w:val="BodyText"/>
      </w:pPr>
    </w:p>
    <w:p w:rsidR="00000000" w:rsidRPr="00B11B86" w:rsidP="00B11B86">
      <w:pPr>
        <w:pStyle w:val="AllowPageBreak"/>
      </w:pPr>
    </w:p>
    <w:p w:rsidR="00000000" w:rsidRPr="00B11B86" w:rsidP="00B11B86">
      <w:pPr>
        <w:pStyle w:val="Heading1"/>
      </w:pPr>
      <w:bookmarkStart w:id="8" w:name="O_119326"/>
      <w:bookmarkEnd w:id="8"/>
      <w:r w:rsidRPr="00B11B86">
        <w:t>Elements and Performance Criteria</w:t>
      </w:r>
    </w:p>
    <w:tbl>
      <w:tblPr>
        <w:tblW w:w="0" w:type="auto"/>
        <w:tblLayout w:type="fixed"/>
        <w:tblCellMar>
          <w:left w:w="62" w:type="dxa"/>
          <w:right w:w="62" w:type="dxa"/>
        </w:tblCellMar>
        <w:tblLook w:val="0000"/>
      </w:tblPr>
      <w:tblGrid>
        <w:gridCol w:w="3060"/>
        <w:gridCol w:w="5580"/>
      </w:tblGrid>
      <w:tr w:rsidTr="006F151E">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RPr="00B11B86" w:rsidP="00B11B86">
            <w:pPr>
              <w:pStyle w:val="BodyText"/>
            </w:pPr>
            <w:r w:rsidRPr="00B11B86">
              <w:rPr>
                <w:rStyle w:val="SpecialBold"/>
              </w:rPr>
              <w:t>ELEMENT</w:t>
            </w:r>
          </w:p>
        </w:tc>
        <w:tc>
          <w:tcPr>
            <w:tcW w:w="5580" w:type="dxa"/>
            <w:tcBorders>
              <w:top w:val="nil"/>
              <w:left w:val="nil"/>
              <w:bottom w:val="nil"/>
              <w:right w:val="nil"/>
            </w:tcBorders>
            <w:tcMar>
              <w:top w:w="0" w:type="dxa"/>
              <w:left w:w="62" w:type="dxa"/>
              <w:bottom w:w="0" w:type="dxa"/>
              <w:right w:w="62" w:type="dxa"/>
            </w:tcMar>
          </w:tcPr>
          <w:p w:rsidR="00000000" w:rsidP="00B11B86">
            <w:pPr>
              <w:pStyle w:val="BodyText"/>
              <w:rPr>
                <w:lang w:val="en-NZ"/>
              </w:rPr>
            </w:pPr>
            <w:r w:rsidRPr="00B11B86">
              <w:rPr>
                <w:rStyle w:val="SpecialBold"/>
              </w:rPr>
              <w:t>PERFORMANCE CRITERIA</w:t>
            </w:r>
          </w:p>
        </w:tc>
      </w:tr>
      <w:tr w:rsidTr="006F151E">
        <w:tblPrEx>
          <w:tblW w:w="0" w:type="auto"/>
          <w:tblLayout w:type="fixed"/>
          <w:tblCellMar>
            <w:left w:w="62" w:type="dxa"/>
            <w:right w:w="62" w:type="dxa"/>
          </w:tblCellMar>
          <w:tblLook w:val="0000"/>
        </w:tblPrEx>
        <w:trPr>
          <w:tblHeader/>
        </w:trPr>
        <w:tc>
          <w:tcPr>
            <w:tcW w:w="3060" w:type="dxa"/>
            <w:tcBorders>
              <w:top w:val="nil"/>
              <w:left w:val="nil"/>
              <w:bottom w:val="nil"/>
              <w:right w:val="single" w:sz="6" w:space="0" w:color="auto"/>
            </w:tcBorders>
            <w:tcMar>
              <w:top w:w="0" w:type="dxa"/>
              <w:left w:w="62" w:type="dxa"/>
              <w:bottom w:w="0" w:type="dxa"/>
              <w:right w:w="62" w:type="dxa"/>
            </w:tcMar>
          </w:tcPr>
          <w:p w:rsidR="00000000" w:rsidP="00B11B86">
            <w:pPr>
              <w:pStyle w:val="List"/>
              <w:rPr>
                <w:lang w:val="en-NZ"/>
              </w:rPr>
            </w:pPr>
            <w:r w:rsidRPr="00B11B86">
              <w:t>1.</w:t>
            </w:r>
            <w:r w:rsidRPr="00B11B86">
              <w:tab/>
            </w:r>
            <w:r w:rsidRPr="00B11B86">
              <w:rPr>
                <w:rStyle w:val="SpecialBold"/>
              </w:rPr>
              <w:t>Prepare for offensive operations</w:t>
            </w:r>
          </w:p>
        </w:tc>
        <w:tc>
          <w:tcPr>
            <w:tcW w:w="5580" w:type="dxa"/>
            <w:tcBorders>
              <w:top w:val="nil"/>
              <w:left w:val="single" w:sz="6" w:space="0" w:color="auto"/>
              <w:bottom w:val="nil"/>
              <w:right w:val="nil"/>
            </w:tcBorders>
            <w:tcMar>
              <w:top w:w="0" w:type="dxa"/>
              <w:left w:w="62" w:type="dxa"/>
              <w:bottom w:w="0" w:type="dxa"/>
              <w:right w:w="62" w:type="dxa"/>
            </w:tcMar>
          </w:tcPr>
          <w:p w:rsidR="00000000" w:rsidRPr="00B11B86" w:rsidP="00B11B86">
            <w:pPr>
              <w:pStyle w:val="List2"/>
            </w:pPr>
            <w:r w:rsidRPr="00B11B86">
              <w:t>1.1</w:t>
            </w:r>
            <w:r w:rsidRPr="00B11B86">
              <w:tab/>
              <w:t>Offensive operation orders are received and clarified where required</w:t>
            </w:r>
          </w:p>
          <w:p w:rsidR="00000000" w:rsidP="00B11B86">
            <w:pPr>
              <w:pStyle w:val="List2"/>
              <w:rPr>
                <w:lang w:val="en-NZ"/>
              </w:rPr>
            </w:pPr>
            <w:r w:rsidRPr="00B11B86">
              <w:t>1.2</w:t>
            </w:r>
            <w:r w:rsidRPr="00B11B86">
              <w:tab/>
            </w:r>
            <w:r w:rsidRPr="00B11B86">
              <w:rPr>
                <w:rStyle w:val="BoldandItalics"/>
              </w:rPr>
              <w:t>Battle</w:t>
            </w:r>
            <w:r w:rsidRPr="00B11B86">
              <w:t xml:space="preserve"> procedure is conducted in accordance with </w:t>
            </w:r>
            <w:r w:rsidRPr="00B11B86">
              <w:rPr>
                <w:rStyle w:val="BoldandItalics"/>
              </w:rPr>
              <w:t>standard procedures</w:t>
            </w:r>
          </w:p>
        </w:tc>
      </w:tr>
      <w:tr w:rsidTr="006F151E">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B11B86">
            <w:pPr>
              <w:pStyle w:val="List"/>
              <w:rPr>
                <w:lang w:val="en-NZ"/>
              </w:rPr>
            </w:pPr>
            <w:r w:rsidRPr="00B11B86">
              <w:t>2.</w:t>
            </w:r>
            <w:r w:rsidRPr="00B11B86">
              <w:tab/>
            </w:r>
            <w:r w:rsidRPr="00B11B86">
              <w:rPr>
                <w:rStyle w:val="SpecialBold"/>
              </w:rPr>
              <w:t>Conduct offensive operations</w:t>
            </w:r>
          </w:p>
        </w:tc>
        <w:tc>
          <w:tcPr>
            <w:tcW w:w="5580" w:type="dxa"/>
            <w:tcBorders>
              <w:top w:val="nil"/>
              <w:left w:val="single" w:sz="6" w:space="0" w:color="auto"/>
              <w:bottom w:val="nil"/>
              <w:right w:val="nil"/>
            </w:tcBorders>
            <w:tcMar>
              <w:top w:w="0" w:type="dxa"/>
              <w:left w:w="62" w:type="dxa"/>
              <w:bottom w:w="0" w:type="dxa"/>
              <w:right w:w="62" w:type="dxa"/>
            </w:tcMar>
          </w:tcPr>
          <w:p w:rsidR="00000000" w:rsidRPr="00B11B86" w:rsidP="00B11B86">
            <w:pPr>
              <w:pStyle w:val="List2"/>
            </w:pPr>
            <w:r w:rsidRPr="00B11B86">
              <w:t>2.1</w:t>
            </w:r>
            <w:r w:rsidRPr="00B11B86">
              <w:tab/>
            </w:r>
            <w:r w:rsidRPr="00B11B86">
              <w:rPr>
                <w:rStyle w:val="BoldandItalics"/>
              </w:rPr>
              <w:t>Advance</w:t>
            </w:r>
            <w:r w:rsidRPr="00B11B86">
              <w:t xml:space="preserve"> is conducted in accordance with operational requirements and standard procedures</w:t>
            </w:r>
          </w:p>
          <w:p w:rsidR="00000000" w:rsidRPr="00B11B86" w:rsidP="00B11B86">
            <w:pPr>
              <w:pStyle w:val="List2"/>
            </w:pPr>
            <w:r w:rsidRPr="00B11B86">
              <w:t>2.2</w:t>
            </w:r>
            <w:r w:rsidRPr="00B11B86">
              <w:tab/>
            </w:r>
            <w:r w:rsidRPr="00B11B86">
              <w:rPr>
                <w:rStyle w:val="BoldandItalics"/>
              </w:rPr>
              <w:t>Attack</w:t>
            </w:r>
            <w:r w:rsidRPr="00B11B86">
              <w:t xml:space="preserve"> is conducted in accordance with operational requirements and standard procedures</w:t>
            </w:r>
          </w:p>
          <w:p w:rsidR="00000000" w:rsidRPr="00B11B86" w:rsidP="00B11B86">
            <w:pPr>
              <w:pStyle w:val="List2"/>
            </w:pPr>
            <w:r w:rsidRPr="00B11B86">
              <w:t>2.3</w:t>
            </w:r>
            <w:r w:rsidRPr="00B11B86">
              <w:tab/>
            </w:r>
            <w:r w:rsidRPr="00B11B86">
              <w:rPr>
                <w:rStyle w:val="BoldandItalics"/>
              </w:rPr>
              <w:t>Ambush</w:t>
            </w:r>
            <w:r w:rsidRPr="00B11B86">
              <w:t xml:space="preserve"> is conducted in accordance with</w:t>
            </w:r>
            <w:r w:rsidRPr="00B11B86">
              <w:t xml:space="preserve"> operational requirements and standard procedures</w:t>
            </w:r>
          </w:p>
          <w:p w:rsidR="00000000" w:rsidP="00B11B86">
            <w:pPr>
              <w:pStyle w:val="List2"/>
              <w:rPr>
                <w:lang w:val="en-NZ"/>
              </w:rPr>
            </w:pPr>
            <w:r w:rsidRPr="00B11B86">
              <w:t>2.4</w:t>
            </w:r>
            <w:r w:rsidRPr="00B11B86">
              <w:tab/>
            </w:r>
            <w:r w:rsidRPr="00B11B86">
              <w:rPr>
                <w:rStyle w:val="BoldandItalics"/>
              </w:rPr>
              <w:t>Drills and procedures</w:t>
            </w:r>
            <w:r w:rsidRPr="00B11B86">
              <w:t xml:space="preserve"> are conducted in accordance with operational requirements and standard procedures</w:t>
            </w:r>
          </w:p>
        </w:tc>
      </w:tr>
      <w:tr w:rsidTr="006F151E">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RPr="00B11B86" w:rsidP="00B11B86">
            <w:pPr>
              <w:pStyle w:val="BodyText"/>
            </w:pPr>
          </w:p>
        </w:tc>
      </w:tr>
    </w:tbl>
    <w:p w:rsidR="00000000" w:rsidRPr="00B11B86" w:rsidP="00B11B86">
      <w:pPr>
        <w:pStyle w:val="BodyText"/>
      </w:pPr>
    </w:p>
    <w:p w:rsidR="00000000" w:rsidRPr="00B11B86" w:rsidP="00B11B86">
      <w:pPr>
        <w:pStyle w:val="AllowPageBreak"/>
      </w:pPr>
    </w:p>
    <w:p w:rsidR="00000000" w:rsidRPr="00B11B86" w:rsidP="00B11B86">
      <w:pPr>
        <w:pStyle w:val="Heading1"/>
      </w:pPr>
      <w:bookmarkStart w:id="9" w:name="O_119327"/>
      <w:bookmarkEnd w:id="9"/>
      <w:r w:rsidRPr="00B11B86">
        <w:t>Required Skills and Knowledge</w:t>
      </w:r>
    </w:p>
    <w:tbl>
      <w:tblPr>
        <w:tblW w:w="0" w:type="auto"/>
        <w:tblLayout w:type="fixed"/>
        <w:tblCellMar>
          <w:left w:w="62" w:type="dxa"/>
          <w:right w:w="62" w:type="dxa"/>
        </w:tblCellMar>
        <w:tblLook w:val="0000"/>
      </w:tblPr>
      <w:tblGrid>
        <w:gridCol w:w="8640"/>
      </w:tblGrid>
      <w:tr w:rsidTr="006F151E">
        <w:tblPrEx>
          <w:tblW w:w="0" w:type="auto"/>
          <w:tblLayout w:type="fixed"/>
          <w:tblCellMar>
            <w:left w:w="62" w:type="dxa"/>
            <w:right w:w="62" w:type="dxa"/>
          </w:tblCellMar>
          <w:tblLook w:val="0000"/>
        </w:tblPrEx>
        <w:trPr>
          <w:tblHeader/>
        </w:trPr>
        <w:tc>
          <w:tcPr>
            <w:tcW w:w="8640" w:type="dxa"/>
            <w:tcBorders>
              <w:top w:val="nil"/>
              <w:left w:val="nil"/>
              <w:bottom w:val="nil"/>
              <w:right w:val="nil"/>
            </w:tcBorders>
            <w:tcMar>
              <w:top w:w="0" w:type="dxa"/>
              <w:left w:w="62" w:type="dxa"/>
              <w:bottom w:w="0" w:type="dxa"/>
              <w:right w:w="62" w:type="dxa"/>
            </w:tcMar>
          </w:tcPr>
          <w:p w:rsidR="00000000" w:rsidP="00B11B86">
            <w:pPr>
              <w:pStyle w:val="BodyText"/>
              <w:rPr>
                <w:lang w:val="en-NZ"/>
              </w:rPr>
            </w:pPr>
            <w:r w:rsidRPr="00B11B86">
              <w:rPr>
                <w:rStyle w:val="SpecialBold"/>
              </w:rPr>
              <w:t>REQUIRED SKILLS AND KNOWLEDGE</w:t>
            </w:r>
          </w:p>
        </w:tc>
      </w:tr>
      <w:tr w:rsidTr="006F151E">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B11B86">
            <w:pPr>
              <w:pStyle w:val="BodyText"/>
              <w:rPr>
                <w:lang w:val="en-NZ"/>
              </w:rPr>
            </w:pPr>
            <w:r w:rsidRPr="00B11B86">
              <w:t>This describes the essential skills and knowledge and their level, required for this unit.</w:t>
            </w:r>
          </w:p>
        </w:tc>
      </w:tr>
      <w:tr w:rsidTr="006F151E">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B11B86">
            <w:pPr>
              <w:pStyle w:val="BodyText"/>
              <w:rPr>
                <w:lang w:val="en-NZ"/>
              </w:rPr>
            </w:pPr>
            <w:r w:rsidRPr="00B11B86">
              <w:rPr>
                <w:rStyle w:val="SpecialBold"/>
              </w:rPr>
              <w:t>Required Skills</w:t>
            </w:r>
          </w:p>
        </w:tc>
      </w:tr>
      <w:tr w:rsidTr="006F151E">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B11B86" w:rsidP="00B11B86">
            <w:pPr>
              <w:pStyle w:val="ListBullet"/>
            </w:pPr>
            <w:r w:rsidRPr="00B11B86">
              <w:t>apply battlecraft aggressively</w:t>
            </w:r>
          </w:p>
          <w:p w:rsidR="00000000" w:rsidRPr="00B11B86" w:rsidP="00B11B86">
            <w:pPr>
              <w:pStyle w:val="ListBullet"/>
            </w:pPr>
            <w:r w:rsidRPr="00B11B86">
              <w:t>apply navigation techniques</w:t>
            </w:r>
          </w:p>
          <w:p w:rsidR="00000000" w:rsidRPr="00B11B86" w:rsidP="00B11B86">
            <w:pPr>
              <w:pStyle w:val="ListBullet"/>
            </w:pPr>
            <w:r w:rsidRPr="00B11B86">
              <w:t>apply operational safety</w:t>
            </w:r>
          </w:p>
          <w:p w:rsidR="00000000" w:rsidRPr="00B11B86" w:rsidP="00B11B86">
            <w:pPr>
              <w:pStyle w:val="ListBullet"/>
            </w:pPr>
            <w:r w:rsidRPr="00B11B86">
              <w:t>apply recognised safety precautions</w:t>
            </w:r>
          </w:p>
          <w:p w:rsidR="00000000" w:rsidRPr="00B11B86" w:rsidP="00B11B86">
            <w:pPr>
              <w:pStyle w:val="ListBullet"/>
            </w:pPr>
            <w:r w:rsidRPr="00B11B86">
              <w:t>assimilate orders</w:t>
            </w:r>
          </w:p>
          <w:p w:rsidR="00000000" w:rsidRPr="00B11B86" w:rsidP="00B11B86">
            <w:pPr>
              <w:pStyle w:val="ListBullet"/>
            </w:pPr>
            <w:r w:rsidRPr="00B11B86">
              <w:t>handle weapons safely in an operational environment</w:t>
            </w:r>
          </w:p>
          <w:p w:rsidR="00000000" w:rsidRPr="00B11B86" w:rsidP="00B11B86">
            <w:pPr>
              <w:pStyle w:val="ListBullet"/>
            </w:pPr>
            <w:r w:rsidRPr="00B11B86">
              <w:t>interpret fire control orders</w:t>
            </w:r>
          </w:p>
          <w:p w:rsidR="00000000" w:rsidP="00B11B86">
            <w:pPr>
              <w:pStyle w:val="ListBullet"/>
              <w:rPr>
                <w:lang w:val="en-NZ"/>
              </w:rPr>
            </w:pPr>
            <w:r w:rsidRPr="00B11B86">
              <w:t>work in a team</w:t>
            </w:r>
          </w:p>
        </w:tc>
      </w:tr>
      <w:tr w:rsidTr="006F151E">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B11B86">
            <w:pPr>
              <w:pStyle w:val="BodyText"/>
              <w:rPr>
                <w:lang w:val="en-NZ"/>
              </w:rPr>
            </w:pPr>
            <w:r w:rsidRPr="00B11B86">
              <w:rPr>
                <w:rStyle w:val="SpecialBold"/>
              </w:rPr>
              <w:t>Required Knowledge</w:t>
            </w:r>
          </w:p>
        </w:tc>
      </w:tr>
      <w:tr w:rsidTr="006F151E">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B11B86" w:rsidP="00B11B86">
            <w:pPr>
              <w:pStyle w:val="ListBullet"/>
            </w:pPr>
            <w:r w:rsidRPr="00B11B86">
              <w:t>battlecraft</w:t>
            </w:r>
          </w:p>
          <w:p w:rsidR="00000000" w:rsidRPr="00B11B86" w:rsidP="00B11B86">
            <w:pPr>
              <w:pStyle w:val="ListBullet"/>
            </w:pPr>
            <w:r w:rsidRPr="00B11B86">
              <w:t>characteristics, technical capabilities, effects, employment and limitations of equipment</w:t>
            </w:r>
          </w:p>
          <w:p w:rsidR="00000000" w:rsidRPr="00B11B86" w:rsidP="00B11B86">
            <w:pPr>
              <w:pStyle w:val="ListBullet"/>
            </w:pPr>
            <w:r w:rsidRPr="00B11B86">
              <w:t>cultural awareness</w:t>
            </w:r>
          </w:p>
          <w:p w:rsidR="00000000" w:rsidRPr="00B11B86" w:rsidP="00B11B86">
            <w:pPr>
              <w:pStyle w:val="ListBullet"/>
            </w:pPr>
            <w:r w:rsidRPr="00B11B86">
              <w:t>fire control orders</w:t>
            </w:r>
          </w:p>
          <w:p w:rsidR="00000000" w:rsidRPr="00B11B86" w:rsidP="00B11B86">
            <w:pPr>
              <w:pStyle w:val="ListBullet"/>
            </w:pPr>
            <w:r w:rsidRPr="00B11B86">
              <w:t>navigation techniques</w:t>
            </w:r>
          </w:p>
          <w:p w:rsidR="00000000" w:rsidRPr="00B11B86" w:rsidP="00B11B86">
            <w:pPr>
              <w:pStyle w:val="ListBullet"/>
            </w:pPr>
            <w:r w:rsidRPr="00B11B86">
              <w:t>OH&amp;S</w:t>
            </w:r>
          </w:p>
          <w:p w:rsidR="00000000" w:rsidRPr="00B11B86" w:rsidP="00B11B86">
            <w:pPr>
              <w:pStyle w:val="ListBullet"/>
            </w:pPr>
            <w:r w:rsidRPr="00B11B86">
              <w:t>orders for open fire</w:t>
            </w:r>
          </w:p>
          <w:p w:rsidR="00000000" w:rsidRPr="00B11B86" w:rsidP="00B11B86">
            <w:pPr>
              <w:pStyle w:val="ListBullet"/>
            </w:pPr>
            <w:r w:rsidRPr="00B11B86">
              <w:t>recognised safety precautions</w:t>
            </w:r>
          </w:p>
          <w:p w:rsidR="00000000" w:rsidRPr="00B11B86" w:rsidP="00B11B86">
            <w:pPr>
              <w:pStyle w:val="ListBullet"/>
            </w:pPr>
            <w:r w:rsidRPr="00B11B86">
              <w:t>requirements</w:t>
            </w:r>
          </w:p>
          <w:p w:rsidR="00000000" w:rsidP="00B11B86">
            <w:pPr>
              <w:pStyle w:val="ListBullet"/>
              <w:rPr>
                <w:lang w:val="en-NZ"/>
              </w:rPr>
            </w:pPr>
            <w:r w:rsidRPr="00B11B86">
              <w:t>team work</w:t>
            </w:r>
          </w:p>
        </w:tc>
      </w:tr>
      <w:tr w:rsidTr="006F151E">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B11B86" w:rsidP="00B11B86">
            <w:pPr>
              <w:pStyle w:val="BodyText"/>
            </w:pPr>
          </w:p>
        </w:tc>
      </w:tr>
    </w:tbl>
    <w:p w:rsidR="00000000" w:rsidRPr="00B11B86" w:rsidP="00B11B86">
      <w:pPr>
        <w:pStyle w:val="BodyText"/>
      </w:pPr>
    </w:p>
    <w:p w:rsidR="00000000" w:rsidRPr="00B11B86" w:rsidP="00B11B86">
      <w:pPr>
        <w:pStyle w:val="AllowPageBreak"/>
      </w:pPr>
    </w:p>
    <w:p w:rsidR="00000000" w:rsidRPr="00B11B86" w:rsidP="00B11B86">
      <w:pPr>
        <w:pStyle w:val="Heading1"/>
      </w:pPr>
      <w:bookmarkStart w:id="10" w:name="O_119328"/>
      <w:bookmarkEnd w:id="10"/>
      <w:r w:rsidRPr="00B11B86">
        <w:t>Evidence Guide</w:t>
      </w:r>
    </w:p>
    <w:tbl>
      <w:tblPr>
        <w:tblW w:w="0" w:type="auto"/>
        <w:tblLayout w:type="fixed"/>
        <w:tblCellMar>
          <w:left w:w="62" w:type="dxa"/>
          <w:right w:w="62" w:type="dxa"/>
        </w:tblCellMar>
        <w:tblLook w:val="0000"/>
      </w:tblPr>
      <w:tblGrid>
        <w:gridCol w:w="3060"/>
        <w:gridCol w:w="5580"/>
      </w:tblGrid>
      <w:tr w:rsidTr="006F151E">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P="00B11B86">
            <w:pPr>
              <w:pStyle w:val="BodyText"/>
              <w:rPr>
                <w:lang w:val="en-NZ"/>
              </w:rPr>
            </w:pPr>
            <w:r w:rsidRPr="00B11B86">
              <w:rPr>
                <w:rStyle w:val="SpecialBold"/>
              </w:rPr>
              <w:t>EVIDENCE GUIDE</w:t>
            </w:r>
          </w:p>
        </w:tc>
        <w:tc>
          <w:tcPr>
            <w:tcW w:w="5580" w:type="dxa"/>
            <w:tcBorders>
              <w:top w:val="nil"/>
              <w:left w:val="nil"/>
              <w:bottom w:val="nil"/>
              <w:right w:val="nil"/>
            </w:tcBorders>
            <w:tcMar>
              <w:top w:w="0" w:type="dxa"/>
              <w:left w:w="62" w:type="dxa"/>
              <w:bottom w:w="0" w:type="dxa"/>
              <w:right w:w="62" w:type="dxa"/>
            </w:tcMar>
          </w:tcPr>
          <w:p w:rsidR="00000000" w:rsidP="00B11B86">
            <w:pPr>
              <w:pStyle w:val="BodyText"/>
              <w:rPr>
                <w:lang w:val="en-NZ"/>
              </w:rPr>
            </w:pPr>
          </w:p>
        </w:tc>
      </w:tr>
      <w:tr w:rsidTr="006F151E">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P="00B11B86">
            <w:pPr>
              <w:pStyle w:val="BodyText"/>
              <w:rPr>
                <w:lang w:val="en-NZ"/>
              </w:rPr>
            </w:pPr>
          </w:p>
        </w:tc>
      </w:tr>
      <w:tr w:rsidTr="006F151E">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B11B86">
            <w:pPr>
              <w:pStyle w:val="BodyText"/>
              <w:rPr>
                <w:lang w:val="en-NZ"/>
              </w:rPr>
            </w:pPr>
            <w:r w:rsidRPr="00B11B86">
              <w:rPr>
                <w:rStyle w:val="SpecialBold"/>
              </w:rPr>
              <w:t>Critical aspects for assessment and evidence required to demonstrate competency in this unit</w:t>
            </w:r>
          </w:p>
        </w:tc>
        <w:tc>
          <w:tcPr>
            <w:tcW w:w="5580" w:type="dxa"/>
            <w:tcBorders>
              <w:top w:val="nil"/>
              <w:left w:val="single" w:sz="6" w:space="0" w:color="auto"/>
              <w:bottom w:val="nil"/>
              <w:right w:val="nil"/>
            </w:tcBorders>
            <w:tcMar>
              <w:top w:w="0" w:type="dxa"/>
              <w:left w:w="62" w:type="dxa"/>
              <w:bottom w:w="0" w:type="dxa"/>
              <w:right w:w="62" w:type="dxa"/>
            </w:tcMar>
          </w:tcPr>
          <w:p w:rsidR="00000000" w:rsidRPr="00B11B86" w:rsidP="00B11B86">
            <w:pPr>
              <w:pStyle w:val="BodyText"/>
            </w:pPr>
            <w:r w:rsidRPr="00B11B86">
              <w:t xml:space="preserve">Assessment must confirm the ability to work as part of a team by day and night in a simulated operational environment that replicates the extremes and stress of a </w:t>
            </w:r>
            <w:r w:rsidRPr="00B11B86">
              <w:t>threat environment; to adhere to all relevant drills and procedures as detailed in the Range Statement; and to attack a prepared position.</w:t>
            </w:r>
          </w:p>
          <w:p w:rsidR="00000000" w:rsidRPr="00B11B86" w:rsidP="00B11B86">
            <w:pPr>
              <w:pStyle w:val="BodyText"/>
            </w:pPr>
          </w:p>
          <w:p w:rsidR="00000000" w:rsidRPr="00B11B86" w:rsidP="00B11B86">
            <w:pPr>
              <w:pStyle w:val="BodyText"/>
            </w:pPr>
            <w:r w:rsidRPr="00B11B86">
              <w:rPr>
                <w:rStyle w:val="SpecialBold"/>
              </w:rPr>
              <w:t>Consistency in performance</w:t>
            </w:r>
          </w:p>
          <w:p w:rsidR="00000000" w:rsidP="00B11B86">
            <w:pPr>
              <w:pStyle w:val="BodyText"/>
              <w:rPr>
                <w:lang w:val="en-NZ"/>
              </w:rPr>
            </w:pPr>
            <w:r w:rsidRPr="00B11B86">
              <w:t>Competency should be demonstrated over time in a range of contexts that could be expected</w:t>
            </w:r>
            <w:r w:rsidRPr="00B11B86">
              <w:t xml:space="preserve"> in the workplace.</w:t>
            </w:r>
          </w:p>
        </w:tc>
      </w:tr>
      <w:tr w:rsidTr="006F151E">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RPr="00B11B86" w:rsidP="00B11B86">
            <w:pPr>
              <w:pStyle w:val="BodyText"/>
            </w:pPr>
            <w:r w:rsidRPr="00B11B86">
              <w:rPr>
                <w:rStyle w:val="SpecialBold"/>
              </w:rPr>
              <w:t>Context of and specific resources for assessment</w:t>
            </w:r>
          </w:p>
        </w:tc>
        <w:tc>
          <w:tcPr>
            <w:tcW w:w="5580" w:type="dxa"/>
            <w:tcBorders>
              <w:top w:val="nil"/>
              <w:left w:val="single" w:sz="6" w:space="0" w:color="auto"/>
              <w:bottom w:val="nil"/>
              <w:right w:val="nil"/>
            </w:tcBorders>
            <w:tcMar>
              <w:top w:w="0" w:type="dxa"/>
              <w:left w:w="62" w:type="dxa"/>
              <w:bottom w:w="0" w:type="dxa"/>
              <w:right w:w="62" w:type="dxa"/>
            </w:tcMar>
          </w:tcPr>
          <w:p w:rsidR="00000000" w:rsidRPr="00B11B86" w:rsidP="00B11B86">
            <w:pPr>
              <w:pStyle w:val="BodyText"/>
            </w:pPr>
            <w:r w:rsidRPr="00B11B86">
              <w:rPr>
                <w:rStyle w:val="SpecialBold"/>
              </w:rPr>
              <w:t>Context of assessment</w:t>
            </w:r>
          </w:p>
          <w:p w:rsidR="00000000" w:rsidRPr="00B11B86" w:rsidP="00B11B86">
            <w:pPr>
              <w:pStyle w:val="BodyText"/>
            </w:pPr>
            <w:r w:rsidRPr="00B11B86">
              <w:t>Competency should be assessed in a simulated operational threat environment. The person should be exposed to the extremes of the operational environment under physical and mental stress. The context of assessment would usually be simulated due to the natur</w:t>
            </w:r>
            <w:r w:rsidRPr="00B11B86">
              <w:t>e of this high-risk environment.</w:t>
            </w:r>
          </w:p>
          <w:p w:rsidR="00000000" w:rsidRPr="00B11B86" w:rsidP="00B11B86">
            <w:pPr>
              <w:pStyle w:val="BodyText"/>
            </w:pPr>
            <w:r w:rsidRPr="00B11B86">
              <w:rPr>
                <w:rStyle w:val="SpecialBold"/>
              </w:rPr>
              <w:t>Specific resources for assessment</w:t>
            </w:r>
          </w:p>
          <w:p w:rsidR="00000000" w:rsidP="00B11B86">
            <w:pPr>
              <w:pStyle w:val="BodyText"/>
              <w:rPr>
                <w:lang w:val="en-NZ"/>
              </w:rPr>
            </w:pPr>
            <w:r w:rsidRPr="00B11B86">
              <w:t>Access to a team; a simulated operational environment that replicates the extremes and stress of a threat environment; a rifle and ammunition; and a variety of equipment as listed in the Ra</w:t>
            </w:r>
            <w:r w:rsidRPr="00B11B86">
              <w:t>nge Statement.</w:t>
            </w:r>
          </w:p>
        </w:tc>
      </w:tr>
      <w:tr w:rsidTr="006F151E">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B11B86">
            <w:pPr>
              <w:pStyle w:val="BodyText"/>
              <w:rPr>
                <w:lang w:val="en-NZ"/>
              </w:rPr>
            </w:pPr>
            <w:r w:rsidRPr="00B11B86">
              <w:rPr>
                <w:rStyle w:val="SpecialBold"/>
              </w:rPr>
              <w:t>Guidance information for assessment</w:t>
            </w:r>
            <w:r w:rsidRPr="00B11B86">
              <w:t xml:space="preserve"> </w:t>
            </w:r>
          </w:p>
        </w:tc>
        <w:tc>
          <w:tcPr>
            <w:tcW w:w="5580" w:type="dxa"/>
            <w:tcBorders>
              <w:top w:val="nil"/>
              <w:left w:val="single" w:sz="6" w:space="0" w:color="auto"/>
              <w:bottom w:val="nil"/>
              <w:right w:val="nil"/>
            </w:tcBorders>
            <w:tcMar>
              <w:top w:w="0" w:type="dxa"/>
              <w:left w:w="62" w:type="dxa"/>
              <w:bottom w:w="0" w:type="dxa"/>
              <w:right w:w="62" w:type="dxa"/>
            </w:tcMar>
          </w:tcPr>
          <w:p w:rsidR="00000000" w:rsidRPr="00B11B86" w:rsidP="00B11B86">
            <w:pPr>
              <w:pStyle w:val="BodyText"/>
            </w:pPr>
            <w:r w:rsidRPr="00B11B86">
              <w:t>Information that will assist or guide assessment will be written during Phase II of the Review of the PUA00 Public Safety Training Package.</w:t>
            </w:r>
          </w:p>
        </w:tc>
      </w:tr>
    </w:tbl>
    <w:p w:rsidR="00000000" w:rsidRPr="00B11B86" w:rsidP="00B11B86">
      <w:pPr>
        <w:pStyle w:val="BodyText"/>
      </w:pPr>
    </w:p>
    <w:p w:rsidR="00000000" w:rsidRPr="00B11B86" w:rsidP="00B11B86">
      <w:pPr>
        <w:pStyle w:val="AllowPageBreak"/>
      </w:pPr>
    </w:p>
    <w:p w:rsidR="00000000" w:rsidRPr="00B11B86" w:rsidP="00B11B86">
      <w:pPr>
        <w:pStyle w:val="Heading1"/>
      </w:pPr>
      <w:bookmarkStart w:id="11" w:name="O_119329"/>
      <w:bookmarkEnd w:id="11"/>
      <w:r w:rsidRPr="00B11B86">
        <w:t>Range Statement</w:t>
      </w:r>
    </w:p>
    <w:tbl>
      <w:tblPr>
        <w:tblW w:w="0" w:type="auto"/>
        <w:tblLayout w:type="fixed"/>
        <w:tblCellMar>
          <w:left w:w="62" w:type="dxa"/>
          <w:right w:w="62" w:type="dxa"/>
        </w:tblCellMar>
        <w:tblLook w:val="0000"/>
      </w:tblPr>
      <w:tblGrid>
        <w:gridCol w:w="3060"/>
        <w:gridCol w:w="5580"/>
      </w:tblGrid>
      <w:tr w:rsidTr="006F151E">
        <w:tblPrEx>
          <w:tblW w:w="0" w:type="auto"/>
          <w:tblLayout w:type="fixed"/>
          <w:tblCellMar>
            <w:left w:w="62" w:type="dxa"/>
            <w:right w:w="62" w:type="dxa"/>
          </w:tblCellMar>
          <w:tblLook w:val="0000"/>
        </w:tblPrEx>
        <w:trPr>
          <w:tblHeader/>
        </w:trPr>
        <w:tc>
          <w:tcPr>
            <w:tcW w:w="8640" w:type="dxa"/>
            <w:gridSpan w:val="2"/>
            <w:tcBorders>
              <w:top w:val="nil"/>
              <w:left w:val="nil"/>
              <w:bottom w:val="nil"/>
              <w:right w:val="nil"/>
            </w:tcBorders>
            <w:tcMar>
              <w:top w:w="0" w:type="dxa"/>
              <w:left w:w="62" w:type="dxa"/>
              <w:bottom w:w="0" w:type="dxa"/>
              <w:right w:w="62" w:type="dxa"/>
            </w:tcMar>
          </w:tcPr>
          <w:p w:rsidR="00000000" w:rsidP="00B11B86">
            <w:pPr>
              <w:pStyle w:val="BodyText"/>
              <w:rPr>
                <w:lang w:val="en-NZ"/>
              </w:rPr>
            </w:pPr>
            <w:r w:rsidRPr="00B11B86">
              <w:rPr>
                <w:rStyle w:val="SpecialBold"/>
              </w:rPr>
              <w:t>RANGE STATEMENT</w:t>
            </w:r>
          </w:p>
        </w:tc>
      </w:tr>
      <w:tr w:rsidTr="006F151E">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B11B86">
            <w:pPr>
              <w:pStyle w:val="BodyText"/>
              <w:rPr>
                <w:lang w:val="en-NZ"/>
              </w:rPr>
            </w:pPr>
            <w:r w:rsidRPr="00B11B86">
              <w:t xml:space="preserve">The Range Statement relates to the Unit of Competency as a whole. It allows for different work environments and situations that may affect performance. </w:t>
            </w:r>
            <w:r w:rsidRPr="00B11B86">
              <w:rPr>
                <w:rStyle w:val="BoldandItalics"/>
              </w:rPr>
              <w:t>Bold italicised</w:t>
            </w:r>
            <w:r w:rsidRPr="00B11B86">
              <w:t xml:space="preserve"> wording in the Performance Criteria is detailed below.</w:t>
            </w:r>
          </w:p>
        </w:tc>
      </w:tr>
      <w:tr w:rsidTr="006F151E">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B11B86">
            <w:pPr>
              <w:pStyle w:val="BodyText"/>
              <w:rPr>
                <w:lang w:val="en-NZ"/>
              </w:rPr>
            </w:pPr>
            <w:r w:rsidRPr="00B11B86">
              <w:rPr>
                <w:rStyle w:val="SpecialBold"/>
              </w:rPr>
              <w:t>An offensive operations team is</w:t>
            </w:r>
          </w:p>
        </w:tc>
        <w:tc>
          <w:tcPr>
            <w:tcW w:w="5580" w:type="dxa"/>
            <w:tcBorders>
              <w:top w:val="nil"/>
              <w:left w:val="single" w:sz="6" w:space="0" w:color="auto"/>
              <w:bottom w:val="nil"/>
              <w:right w:val="nil"/>
            </w:tcBorders>
            <w:tcMar>
              <w:top w:w="0" w:type="dxa"/>
              <w:left w:w="62" w:type="dxa"/>
              <w:bottom w:w="0" w:type="dxa"/>
              <w:right w:w="62" w:type="dxa"/>
            </w:tcMar>
          </w:tcPr>
          <w:p w:rsidR="00000000" w:rsidP="00B11B86">
            <w:pPr>
              <w:pStyle w:val="BodyText"/>
              <w:rPr>
                <w:lang w:val="en-NZ"/>
              </w:rPr>
            </w:pPr>
            <w:r w:rsidRPr="00B11B86">
              <w:t>A grouping up to approximately 30 personnel (for infantry this would be a section or platoon)</w:t>
            </w:r>
          </w:p>
        </w:tc>
      </w:tr>
      <w:tr w:rsidTr="006F151E">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B11B86">
            <w:pPr>
              <w:pStyle w:val="BodyText"/>
              <w:rPr>
                <w:lang w:val="en-NZ"/>
              </w:rPr>
            </w:pPr>
            <w:r w:rsidRPr="00B11B86">
              <w:rPr>
                <w:rStyle w:val="SpecialBold"/>
              </w:rPr>
              <w:t>Battle procedures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B11B86" w:rsidP="00B11B86">
            <w:pPr>
              <w:pStyle w:val="BodyText"/>
            </w:pPr>
            <w:r w:rsidRPr="00B11B86">
              <w:t>Cleaning weapons</w:t>
            </w:r>
          </w:p>
          <w:p w:rsidR="00000000" w:rsidRPr="00B11B86" w:rsidP="00B11B86">
            <w:pPr>
              <w:pStyle w:val="BodyText"/>
            </w:pPr>
            <w:r w:rsidRPr="00B11B86">
              <w:t>Conducting rehearsals</w:t>
            </w:r>
          </w:p>
          <w:p w:rsidR="00000000" w:rsidRPr="00B11B86" w:rsidP="00B11B86">
            <w:pPr>
              <w:pStyle w:val="BodyText"/>
            </w:pPr>
            <w:r w:rsidRPr="00B11B86">
              <w:t>Receiving confirmatory orders</w:t>
            </w:r>
          </w:p>
          <w:p w:rsidR="00000000" w:rsidRPr="00B11B86" w:rsidP="00B11B86">
            <w:pPr>
              <w:pStyle w:val="BodyText"/>
            </w:pPr>
            <w:r w:rsidRPr="00B11B86">
              <w:t>Removing non-essential items</w:t>
            </w:r>
          </w:p>
          <w:p w:rsidR="00000000" w:rsidRPr="00B11B86" w:rsidP="00B11B86">
            <w:pPr>
              <w:pStyle w:val="BodyText"/>
            </w:pPr>
            <w:r w:rsidRPr="00B11B86">
              <w:t>Test firing weapons</w:t>
            </w:r>
          </w:p>
          <w:p w:rsidR="00000000" w:rsidRPr="00B11B86" w:rsidP="00B11B86">
            <w:pPr>
              <w:pStyle w:val="BodyText"/>
            </w:pPr>
            <w:r w:rsidRPr="00B11B86">
              <w:t>Testing or checking equipment, which may include:</w:t>
            </w:r>
          </w:p>
          <w:p w:rsidR="00000000" w:rsidRPr="00B11B86" w:rsidP="00B11B86">
            <w:pPr>
              <w:pStyle w:val="ListBullet"/>
            </w:pPr>
            <w:r w:rsidRPr="00B11B86">
              <w:t>ammunition</w:t>
            </w:r>
          </w:p>
          <w:p w:rsidR="00000000" w:rsidRPr="00B11B86" w:rsidP="00B11B86">
            <w:pPr>
              <w:pStyle w:val="ListBullet"/>
            </w:pPr>
            <w:r w:rsidRPr="00B11B86">
              <w:t>load carrying equipment</w:t>
            </w:r>
          </w:p>
          <w:p w:rsidR="00000000" w:rsidRPr="00B11B86" w:rsidP="00B11B86">
            <w:pPr>
              <w:pStyle w:val="ListBullet"/>
            </w:pPr>
            <w:r w:rsidRPr="00B11B86">
              <w:t>personal protective equipment</w:t>
            </w:r>
          </w:p>
          <w:p w:rsidR="00000000" w:rsidRPr="00B11B86" w:rsidP="00B11B86">
            <w:pPr>
              <w:pStyle w:val="ListBullet"/>
            </w:pPr>
            <w:r w:rsidRPr="00B11B86">
              <w:t>day and night vision equipment</w:t>
            </w:r>
          </w:p>
          <w:p w:rsidR="00000000" w:rsidRPr="00B11B86" w:rsidP="00B11B86">
            <w:pPr>
              <w:pStyle w:val="ListBullet"/>
            </w:pPr>
            <w:r w:rsidRPr="00B11B86">
              <w:t>infra-red lights</w:t>
            </w:r>
          </w:p>
          <w:p w:rsidR="00000000" w:rsidRPr="00B11B86" w:rsidP="00B11B86">
            <w:pPr>
              <w:pStyle w:val="ListBullet"/>
            </w:pPr>
            <w:r w:rsidRPr="00B11B86">
              <w:t>rations</w:t>
            </w:r>
          </w:p>
          <w:p w:rsidR="00000000" w:rsidRPr="00B11B86" w:rsidP="00B11B86">
            <w:pPr>
              <w:pStyle w:val="ListBullet"/>
            </w:pPr>
            <w:r w:rsidRPr="00B11B86">
              <w:t>task specific equipment</w:t>
            </w:r>
          </w:p>
          <w:p w:rsidR="00000000" w:rsidRPr="00B11B86" w:rsidP="00B11B86">
            <w:pPr>
              <w:pStyle w:val="ListBullet"/>
            </w:pPr>
            <w:r w:rsidRPr="00B11B86">
              <w:t xml:space="preserve">specialist equipment </w:t>
            </w:r>
          </w:p>
          <w:p w:rsidR="00000000" w:rsidRPr="00B11B86" w:rsidP="00B11B86">
            <w:pPr>
              <w:pStyle w:val="ListBullet"/>
            </w:pPr>
            <w:r w:rsidRPr="00B11B86">
              <w:t>early warning devices</w:t>
            </w:r>
          </w:p>
          <w:p w:rsidR="00000000" w:rsidP="00B11B86">
            <w:pPr>
              <w:pStyle w:val="ListBullet"/>
              <w:rPr>
                <w:lang w:val="en-NZ"/>
              </w:rPr>
            </w:pPr>
            <w:r w:rsidRPr="00B11B86">
              <w:t>communication eq</w:t>
            </w:r>
            <w:r w:rsidRPr="00B11B86">
              <w:t>uipment</w:t>
            </w:r>
          </w:p>
        </w:tc>
      </w:tr>
      <w:tr w:rsidTr="006F151E">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B11B86">
            <w:pPr>
              <w:pStyle w:val="BodyText"/>
              <w:rPr>
                <w:lang w:val="en-NZ"/>
              </w:rPr>
            </w:pPr>
            <w:r w:rsidRPr="00B11B86">
              <w:rPr>
                <w:rStyle w:val="SpecialBold"/>
              </w:rPr>
              <w:t>Standard procedures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B11B86" w:rsidP="00B11B86">
            <w:pPr>
              <w:pStyle w:val="BodyText"/>
            </w:pPr>
            <w:r w:rsidRPr="00B11B86">
              <w:t>Australian Standards</w:t>
            </w:r>
          </w:p>
          <w:p w:rsidR="00000000" w:rsidRPr="00B11B86" w:rsidP="00B11B86">
            <w:pPr>
              <w:pStyle w:val="BodyText"/>
            </w:pPr>
            <w:r w:rsidRPr="00B11B86">
              <w:t>Defence Instructions</w:t>
            </w:r>
          </w:p>
          <w:p w:rsidR="00000000" w:rsidRPr="00B11B86" w:rsidP="00B11B86">
            <w:pPr>
              <w:pStyle w:val="BodyText"/>
            </w:pPr>
            <w:r w:rsidRPr="00B11B86">
              <w:t>Doctrinal pamphlets</w:t>
            </w:r>
          </w:p>
          <w:p w:rsidR="00000000" w:rsidRPr="00B11B86" w:rsidP="00B11B86">
            <w:pPr>
              <w:pStyle w:val="BodyText"/>
            </w:pPr>
            <w:r w:rsidRPr="00B11B86">
              <w:t>Job guides, other publications</w:t>
            </w:r>
          </w:p>
          <w:p w:rsidR="00000000" w:rsidRPr="00B11B86" w:rsidP="00B11B86">
            <w:pPr>
              <w:pStyle w:val="BodyText"/>
            </w:pPr>
            <w:r w:rsidRPr="00B11B86">
              <w:t>Manufacturers' handbooks, industry specifications and technical instructions</w:t>
            </w:r>
          </w:p>
          <w:p w:rsidR="00000000" w:rsidRPr="00B11B86" w:rsidP="00B11B86">
            <w:pPr>
              <w:pStyle w:val="BodyText"/>
            </w:pPr>
            <w:r w:rsidRPr="00B11B86">
              <w:t>Occupational health and safety (OH&amp;S) regulations</w:t>
            </w:r>
          </w:p>
          <w:p w:rsidR="00000000" w:rsidRPr="00B11B86" w:rsidP="00B11B86">
            <w:pPr>
              <w:pStyle w:val="BodyText"/>
            </w:pPr>
            <w:r w:rsidRPr="00B11B86">
              <w:t xml:space="preserve">Organisational policies and procedures </w:t>
            </w:r>
          </w:p>
          <w:p w:rsidR="00000000" w:rsidRPr="00B11B86" w:rsidP="00B11B86">
            <w:pPr>
              <w:pStyle w:val="BodyText"/>
            </w:pPr>
            <w:r w:rsidRPr="00B11B86">
              <w:t>Procedure manuals</w:t>
            </w:r>
          </w:p>
          <w:p w:rsidR="00000000" w:rsidRPr="00B11B86" w:rsidP="00B11B86">
            <w:pPr>
              <w:pStyle w:val="BodyText"/>
            </w:pPr>
            <w:r w:rsidRPr="00B11B86">
              <w:t>Reengagement procedures</w:t>
            </w:r>
          </w:p>
          <w:p w:rsidR="00000000" w:rsidRPr="00B11B86" w:rsidP="00B11B86">
            <w:pPr>
              <w:pStyle w:val="BodyText"/>
            </w:pPr>
            <w:r w:rsidRPr="00B11B86">
              <w:t>Relevant local government by-laws</w:t>
            </w:r>
          </w:p>
          <w:p w:rsidR="00000000" w:rsidRPr="00B11B86" w:rsidP="00B11B86">
            <w:pPr>
              <w:pStyle w:val="BodyText"/>
            </w:pPr>
            <w:r w:rsidRPr="00B11B86">
              <w:t>Relevant state/territory or federal legislation</w:t>
            </w:r>
          </w:p>
          <w:p w:rsidR="00000000" w:rsidRPr="00B11B86" w:rsidP="00B11B86">
            <w:pPr>
              <w:pStyle w:val="BodyText"/>
            </w:pPr>
            <w:r w:rsidRPr="00B11B86">
              <w:t>Routine Orders</w:t>
            </w:r>
          </w:p>
          <w:p w:rsidR="00000000" w:rsidRPr="00B11B86" w:rsidP="00B11B86">
            <w:pPr>
              <w:pStyle w:val="BodyText"/>
            </w:pPr>
            <w:r w:rsidRPr="00B11B86">
              <w:t>Standing Operating Procedur</w:t>
            </w:r>
            <w:r w:rsidRPr="00B11B86">
              <w:t>es</w:t>
            </w:r>
          </w:p>
          <w:p w:rsidR="00000000" w:rsidRPr="00B11B86" w:rsidP="00B11B86">
            <w:pPr>
              <w:pStyle w:val="BodyText"/>
            </w:pPr>
            <w:r w:rsidRPr="00B11B86">
              <w:t>Standing Orders</w:t>
            </w:r>
          </w:p>
          <w:p w:rsidR="00000000" w:rsidP="00B11B86">
            <w:pPr>
              <w:pStyle w:val="BodyText"/>
              <w:rPr>
                <w:lang w:val="en-NZ"/>
              </w:rPr>
            </w:pPr>
            <w:r w:rsidRPr="00B11B86">
              <w:t>Written and verbal orders</w:t>
            </w:r>
          </w:p>
        </w:tc>
      </w:tr>
      <w:tr w:rsidTr="006F151E">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B11B86">
            <w:pPr>
              <w:pStyle w:val="BodyText"/>
              <w:rPr>
                <w:lang w:val="en-NZ"/>
              </w:rPr>
            </w:pPr>
            <w:r w:rsidRPr="00B11B86">
              <w:rPr>
                <w:rStyle w:val="SpecialBold"/>
              </w:rPr>
              <w:t>Advance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B11B86" w:rsidP="00B11B86">
            <w:pPr>
              <w:pStyle w:val="BodyText"/>
            </w:pPr>
            <w:r w:rsidRPr="00B11B86">
              <w:t>Advance to contact</w:t>
            </w:r>
          </w:p>
          <w:p w:rsidR="00000000" w:rsidP="00B11B86">
            <w:pPr>
              <w:pStyle w:val="BodyText"/>
              <w:rPr>
                <w:lang w:val="en-NZ"/>
              </w:rPr>
            </w:pPr>
            <w:r w:rsidRPr="00B11B86">
              <w:t>Advance in contact</w:t>
            </w:r>
          </w:p>
        </w:tc>
      </w:tr>
      <w:tr w:rsidTr="006F151E">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B11B86">
            <w:pPr>
              <w:pStyle w:val="BodyText"/>
              <w:rPr>
                <w:lang w:val="en-NZ"/>
              </w:rPr>
            </w:pPr>
            <w:r w:rsidRPr="00B11B86">
              <w:rPr>
                <w:rStyle w:val="SpecialBold"/>
              </w:rPr>
              <w:t>Attack may be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B11B86" w:rsidP="00B11B86">
            <w:pPr>
              <w:pStyle w:val="BodyText"/>
            </w:pPr>
            <w:r w:rsidRPr="00B11B86">
              <w:t>Deliberate</w:t>
            </w:r>
          </w:p>
          <w:p w:rsidR="00000000" w:rsidP="00B11B86">
            <w:pPr>
              <w:pStyle w:val="BodyText"/>
              <w:rPr>
                <w:lang w:val="en-NZ"/>
              </w:rPr>
            </w:pPr>
            <w:r w:rsidRPr="00B11B86">
              <w:t>Quick</w:t>
            </w:r>
          </w:p>
        </w:tc>
      </w:tr>
      <w:tr w:rsidTr="006F151E">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B11B86">
            <w:pPr>
              <w:pStyle w:val="BodyText"/>
              <w:rPr>
                <w:lang w:val="en-NZ"/>
              </w:rPr>
            </w:pPr>
            <w:r w:rsidRPr="00B11B86">
              <w:rPr>
                <w:rStyle w:val="SpecialBold"/>
              </w:rPr>
              <w:t>Ambush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B11B86" w:rsidP="00B11B86">
            <w:pPr>
              <w:pStyle w:val="BodyText"/>
            </w:pPr>
            <w:r w:rsidRPr="00B11B86">
              <w:t>Area</w:t>
            </w:r>
          </w:p>
          <w:p w:rsidR="00000000" w:rsidRPr="00B11B86" w:rsidP="00B11B86">
            <w:pPr>
              <w:pStyle w:val="BodyText"/>
            </w:pPr>
            <w:r w:rsidRPr="00B11B86">
              <w:t>Deliberate or immediate</w:t>
            </w:r>
          </w:p>
          <w:p w:rsidR="00000000" w:rsidRPr="00B11B86" w:rsidP="00B11B86">
            <w:pPr>
              <w:pStyle w:val="BodyText"/>
            </w:pPr>
            <w:r w:rsidRPr="00B11B86">
              <w:t>Linear</w:t>
            </w:r>
          </w:p>
          <w:p w:rsidR="00000000" w:rsidRPr="00B11B86" w:rsidP="00B11B86">
            <w:pPr>
              <w:pStyle w:val="BodyText"/>
            </w:pPr>
            <w:r w:rsidRPr="00B11B86">
              <w:t>Mobile</w:t>
            </w:r>
          </w:p>
          <w:p w:rsidR="00000000" w:rsidRPr="00B11B86" w:rsidP="00B11B86">
            <w:pPr>
              <w:pStyle w:val="BodyText"/>
            </w:pPr>
            <w:r w:rsidRPr="00B11B86">
              <w:t>Static</w:t>
            </w:r>
          </w:p>
          <w:p w:rsidR="00000000" w:rsidP="00B11B86">
            <w:pPr>
              <w:pStyle w:val="BodyText"/>
              <w:rPr>
                <w:lang w:val="en-NZ"/>
              </w:rPr>
            </w:pPr>
            <w:r w:rsidRPr="00B11B86">
              <w:t>Triangular</w:t>
            </w:r>
          </w:p>
        </w:tc>
      </w:tr>
      <w:tr w:rsidTr="006F151E">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B11B86">
            <w:pPr>
              <w:pStyle w:val="BodyText"/>
              <w:rPr>
                <w:lang w:val="en-NZ"/>
              </w:rPr>
            </w:pPr>
            <w:r w:rsidRPr="00B11B86">
              <w:rPr>
                <w:rStyle w:val="SpecialBold"/>
              </w:rPr>
              <w:t>Drills and procedures must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B11B86" w:rsidP="00B11B86">
            <w:pPr>
              <w:pStyle w:val="BodyText"/>
            </w:pPr>
            <w:r w:rsidRPr="00B11B86">
              <w:t>Advance:</w:t>
            </w:r>
          </w:p>
          <w:p w:rsidR="00000000" w:rsidRPr="00B11B86" w:rsidP="00B11B86">
            <w:pPr>
              <w:pStyle w:val="ListBullet"/>
            </w:pPr>
            <w:r w:rsidRPr="00B11B86">
              <w:t>quick response force</w:t>
            </w:r>
          </w:p>
          <w:p w:rsidR="00000000" w:rsidRPr="00B11B86" w:rsidP="00B11B86">
            <w:pPr>
              <w:pStyle w:val="ListBullet"/>
            </w:pPr>
            <w:r w:rsidRPr="00B11B86">
              <w:t>contact drills</w:t>
            </w:r>
          </w:p>
          <w:p w:rsidR="00000000" w:rsidRPr="00B11B86" w:rsidP="00B11B86">
            <w:pPr>
              <w:pStyle w:val="ListBullet"/>
            </w:pPr>
            <w:r w:rsidRPr="00B11B86">
              <w:t>counter ambush drills</w:t>
            </w:r>
          </w:p>
          <w:p w:rsidR="00000000" w:rsidRPr="00B11B86" w:rsidP="00B11B86">
            <w:pPr>
              <w:pStyle w:val="ListBullet"/>
            </w:pPr>
            <w:r w:rsidRPr="00B11B86">
              <w:t>mine incident drills</w:t>
            </w:r>
          </w:p>
          <w:p w:rsidR="00000000" w:rsidRPr="00B11B86" w:rsidP="00B11B86">
            <w:pPr>
              <w:pStyle w:val="ListBullet"/>
            </w:pPr>
            <w:r w:rsidRPr="00B11B86">
              <w:t>obstacle crossing drills</w:t>
            </w:r>
          </w:p>
          <w:p w:rsidR="00000000" w:rsidRPr="00B11B86" w:rsidP="00B11B86">
            <w:pPr>
              <w:pStyle w:val="ListBullet"/>
            </w:pPr>
            <w:r w:rsidRPr="00B11B86">
              <w:t>harbour drills</w:t>
            </w:r>
          </w:p>
          <w:p w:rsidR="00000000" w:rsidRPr="00B11B86" w:rsidP="00B11B86">
            <w:pPr>
              <w:pStyle w:val="ListBullet"/>
            </w:pPr>
            <w:r w:rsidRPr="00B11B86">
              <w:t>short and long halts</w:t>
            </w:r>
          </w:p>
          <w:p w:rsidR="00000000" w:rsidRPr="00B11B86" w:rsidP="00B11B86">
            <w:pPr>
              <w:pStyle w:val="ListBullet"/>
            </w:pPr>
            <w:r w:rsidRPr="00B11B86">
              <w:t>rendezvous and marry-up procedures</w:t>
            </w:r>
          </w:p>
          <w:p w:rsidR="00000000" w:rsidRPr="00B11B86" w:rsidP="00B11B86">
            <w:pPr>
              <w:pStyle w:val="BodyText"/>
            </w:pPr>
            <w:r w:rsidRPr="00B11B86">
              <w:t>Attack:</w:t>
            </w:r>
          </w:p>
          <w:p w:rsidR="00000000" w:rsidRPr="00B11B86" w:rsidP="00B11B86">
            <w:pPr>
              <w:pStyle w:val="ListBullet"/>
            </w:pPr>
            <w:r w:rsidRPr="00B11B86">
              <w:t>preparation</w:t>
            </w:r>
          </w:p>
          <w:p w:rsidR="00000000" w:rsidRPr="00B11B86" w:rsidP="00B11B86">
            <w:pPr>
              <w:pStyle w:val="ListBullet"/>
            </w:pPr>
            <w:r w:rsidRPr="00B11B86">
              <w:t>assault</w:t>
            </w:r>
          </w:p>
          <w:p w:rsidR="00000000" w:rsidRPr="00B11B86" w:rsidP="00B11B86">
            <w:pPr>
              <w:pStyle w:val="ListBullet"/>
            </w:pPr>
            <w:r w:rsidRPr="00B11B86">
              <w:t>fight through/close assault drill</w:t>
            </w:r>
          </w:p>
          <w:p w:rsidR="00000000" w:rsidRPr="00B11B86" w:rsidP="00B11B86">
            <w:pPr>
              <w:pStyle w:val="ListBullet"/>
            </w:pPr>
            <w:r w:rsidRPr="00B11B86">
              <w:t>exploitation</w:t>
            </w:r>
          </w:p>
          <w:p w:rsidR="00000000" w:rsidRPr="00B11B86" w:rsidP="00B11B86">
            <w:pPr>
              <w:pStyle w:val="ListBullet"/>
            </w:pPr>
            <w:r w:rsidRPr="00B11B86">
              <w:t>reorganisation fire support</w:t>
            </w:r>
          </w:p>
          <w:p w:rsidR="00000000" w:rsidRPr="00B11B86" w:rsidP="00B11B86">
            <w:pPr>
              <w:pStyle w:val="BodyText"/>
            </w:pPr>
            <w:r w:rsidRPr="00B11B86">
              <w:t>Ambush:</w:t>
            </w:r>
          </w:p>
          <w:p w:rsidR="00000000" w:rsidRPr="00B11B86" w:rsidP="00B11B86">
            <w:pPr>
              <w:pStyle w:val="ListBullet"/>
            </w:pPr>
            <w:r w:rsidRPr="00B11B86">
              <w:t>preparation</w:t>
            </w:r>
          </w:p>
          <w:p w:rsidR="00000000" w:rsidRPr="00B11B86" w:rsidP="00B11B86">
            <w:pPr>
              <w:pStyle w:val="ListBullet"/>
            </w:pPr>
            <w:r w:rsidRPr="00B11B86">
              <w:t>occupation</w:t>
            </w:r>
          </w:p>
          <w:p w:rsidR="00000000" w:rsidRPr="00B11B86" w:rsidP="00B11B86">
            <w:pPr>
              <w:pStyle w:val="ListBullet"/>
            </w:pPr>
            <w:r w:rsidRPr="00B11B86">
              <w:t>initiation</w:t>
            </w:r>
          </w:p>
          <w:p w:rsidR="00000000" w:rsidRPr="00B11B86" w:rsidP="00B11B86">
            <w:pPr>
              <w:pStyle w:val="ListBullet"/>
            </w:pPr>
            <w:r w:rsidRPr="00B11B86">
              <w:t>searching</w:t>
            </w:r>
          </w:p>
          <w:p w:rsidR="00000000" w:rsidP="00B11B86">
            <w:pPr>
              <w:pStyle w:val="ListBullet"/>
              <w:rPr>
                <w:lang w:val="en-NZ"/>
              </w:rPr>
            </w:pPr>
            <w:r w:rsidRPr="00B11B86">
              <w:t>withdrawal</w:t>
            </w:r>
          </w:p>
        </w:tc>
      </w:tr>
      <w:tr w:rsidTr="006F151E">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RPr="00B11B86" w:rsidP="00B11B86">
            <w:pPr>
              <w:pStyle w:val="BodyText"/>
            </w:pPr>
          </w:p>
        </w:tc>
      </w:tr>
    </w:tbl>
    <w:p w:rsidR="00000000" w:rsidRPr="00B11B86" w:rsidP="00B11B86">
      <w:pPr>
        <w:pStyle w:val="BodyText"/>
      </w:pPr>
    </w:p>
    <w:p w:rsidR="00000000" w:rsidRPr="00B11B86" w:rsidP="00B11B86">
      <w:pPr>
        <w:pStyle w:val="AllowPageBreak"/>
      </w:pPr>
    </w:p>
    <w:p w:rsidR="00000000" w:rsidRPr="00B11B86" w:rsidP="00B11B86">
      <w:pPr>
        <w:pStyle w:val="Heading1"/>
      </w:pPr>
      <w:bookmarkStart w:id="12" w:name="O_119330"/>
      <w:bookmarkEnd w:id="12"/>
      <w:r w:rsidRPr="00B11B86">
        <w:t>Unit Sector(s)</w:t>
      </w:r>
    </w:p>
    <w:p w:rsidR="00000000" w:rsidRPr="00B11B86" w:rsidP="00B11B86">
      <w:pPr>
        <w:pStyle w:val="BodyText"/>
      </w:pPr>
      <w:r w:rsidRPr="00B11B86">
        <w:t>Not applicable.</w:t>
      </w:r>
    </w:p>
    <w:p w:rsidR="00000000" w:rsidRPr="00B11B86" w:rsidP="00B11B86">
      <w:pPr>
        <w:pStyle w:val="AllowPageBreak"/>
      </w:pPr>
    </w:p>
    <w:p w:rsidR="00000000" w:rsidRPr="00B11B86" w:rsidP="00B11B86">
      <w:pPr>
        <w:pStyle w:val="Heading1"/>
      </w:pPr>
      <w:bookmarkStart w:id="13" w:name="O_174826"/>
      <w:bookmarkEnd w:id="13"/>
      <w:r w:rsidRPr="00B11B86">
        <w:t>Corequisite Unit/s</w:t>
      </w:r>
    </w:p>
    <w:tbl>
      <w:tblPr>
        <w:tblW w:w="0" w:type="auto"/>
        <w:tblLayout w:type="fixed"/>
        <w:tblCellMar>
          <w:left w:w="62" w:type="dxa"/>
          <w:right w:w="62" w:type="dxa"/>
        </w:tblCellMar>
        <w:tblLook w:val="0000"/>
      </w:tblPr>
      <w:tblGrid>
        <w:gridCol w:w="3060"/>
        <w:gridCol w:w="5580"/>
      </w:tblGrid>
      <w:tr w:rsidTr="006F151E">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P="00B11B86">
            <w:pPr>
              <w:pStyle w:val="BodyText"/>
              <w:rPr>
                <w:lang w:val="en-NZ"/>
              </w:rPr>
            </w:pPr>
            <w:r w:rsidRPr="00B11B86">
              <w:rPr>
                <w:rStyle w:val="SpecialBold"/>
              </w:rPr>
              <w:t>Co-requisite Unit</w:t>
            </w:r>
            <w:r w:rsidRPr="00B11B86">
              <w:t>/</w:t>
            </w:r>
            <w:r w:rsidRPr="00B11B86">
              <w:rPr>
                <w:rStyle w:val="SpecialBold"/>
              </w:rPr>
              <w:t>s</w:t>
            </w:r>
          </w:p>
        </w:tc>
        <w:tc>
          <w:tcPr>
            <w:tcW w:w="5580" w:type="dxa"/>
            <w:tcBorders>
              <w:top w:val="nil"/>
              <w:left w:val="nil"/>
              <w:bottom w:val="nil"/>
              <w:right w:val="nil"/>
            </w:tcBorders>
            <w:tcMar>
              <w:top w:w="0" w:type="dxa"/>
              <w:left w:w="62" w:type="dxa"/>
              <w:bottom w:w="0" w:type="dxa"/>
              <w:right w:w="62" w:type="dxa"/>
            </w:tcMar>
          </w:tcPr>
          <w:p w:rsidR="00000000" w:rsidRPr="00B11B86" w:rsidP="00B11B86">
            <w:pPr>
              <w:pStyle w:val="BodyText"/>
            </w:pPr>
            <w:r w:rsidRPr="00B11B86">
              <w:t>Nil</w:t>
            </w:r>
          </w:p>
        </w:tc>
      </w:tr>
    </w:tbl>
    <w:p w:rsidR="00000000" w:rsidRPr="00B11B86" w:rsidP="00B11B86">
      <w:pPr>
        <w:pStyle w:val="BodyText"/>
      </w:pPr>
    </w:p>
    <w:p w:rsidR="00000000" w:rsidRPr="00B11B86" w:rsidP="00B11B86"/>
    <w:sectPr w:rsidSect="00B11B8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1B8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F151E" w:rsidP="006F151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1B8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151E" w:rsidP="00B11B8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6F151E" w:rsidP="00B11B8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6F151E" w:rsidP="00B11B8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1B8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F151E" w:rsidP="006F151E">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1B8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151E" w:rsidP="00B11B86">
    <w:pPr>
      <w:pStyle w:val="Header"/>
      <w:framePr w:wrap="around"/>
    </w:pPr>
    <w:r>
      <w:fldChar w:fldCharType="begin"/>
    </w:r>
    <w:r>
      <w:instrText xml:space="preserve"> TITLE   \* MERGEFORMAT </w:instrText>
    </w:r>
    <w:r>
      <w:fldChar w:fldCharType="separate"/>
    </w:r>
    <w:r>
      <w:t>PUADEFCA403B Undertake offensive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6F151E" w:rsidP="00B11B8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1D47B6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088D88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11B8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11B86"/>
    <w:pPr>
      <w:spacing w:before="360" w:after="60"/>
      <w:outlineLvl w:val="0"/>
    </w:pPr>
    <w:rPr>
      <w:sz w:val="32"/>
    </w:rPr>
  </w:style>
  <w:style w:type="paragraph" w:styleId="Heading2">
    <w:name w:val="heading 2"/>
    <w:basedOn w:val="HeadingBase"/>
    <w:next w:val="BodyText"/>
    <w:link w:val="Heading2Char"/>
    <w:qFormat/>
    <w:rsid w:val="00B11B86"/>
    <w:pPr>
      <w:keepLines/>
      <w:spacing w:before="240" w:after="120"/>
      <w:outlineLvl w:val="1"/>
    </w:pPr>
    <w:rPr>
      <w:sz w:val="28"/>
      <w:szCs w:val="40"/>
    </w:rPr>
  </w:style>
  <w:style w:type="paragraph" w:styleId="Heading3">
    <w:name w:val="heading 3"/>
    <w:basedOn w:val="HeadingBase"/>
    <w:next w:val="BodyText"/>
    <w:link w:val="Heading3Char"/>
    <w:qFormat/>
    <w:rsid w:val="00B11B86"/>
    <w:pPr>
      <w:spacing w:before="180" w:after="120"/>
      <w:outlineLvl w:val="2"/>
    </w:pPr>
    <w:rPr>
      <w:spacing w:val="-10"/>
      <w:kern w:val="32"/>
    </w:rPr>
  </w:style>
  <w:style w:type="paragraph" w:styleId="Heading4">
    <w:name w:val="heading 4"/>
    <w:basedOn w:val="HeadingBase"/>
    <w:next w:val="BodyText"/>
    <w:link w:val="Heading4Char"/>
    <w:qFormat/>
    <w:rsid w:val="00B11B86"/>
    <w:pPr>
      <w:spacing w:before="160" w:after="120"/>
      <w:outlineLvl w:val="3"/>
    </w:pPr>
    <w:rPr>
      <w:sz w:val="22"/>
    </w:rPr>
  </w:style>
  <w:style w:type="paragraph" w:styleId="Heading5">
    <w:name w:val="heading 5"/>
    <w:basedOn w:val="HeadingBase"/>
    <w:next w:val="Normal"/>
    <w:link w:val="Heading5Char"/>
    <w:qFormat/>
    <w:rsid w:val="00B11B86"/>
    <w:pPr>
      <w:spacing w:before="80"/>
      <w:outlineLvl w:val="4"/>
    </w:pPr>
    <w:rPr>
      <w:color w:val="918585"/>
      <w:sz w:val="20"/>
    </w:rPr>
  </w:style>
  <w:style w:type="paragraph" w:styleId="Heading6">
    <w:name w:val="heading 6"/>
    <w:basedOn w:val="HeadingBase"/>
    <w:next w:val="Normal"/>
    <w:link w:val="Heading6Char"/>
    <w:qFormat/>
    <w:rsid w:val="00B11B86"/>
    <w:pPr>
      <w:spacing w:before="60"/>
      <w:outlineLvl w:val="5"/>
    </w:pPr>
    <w:rPr>
      <w:color w:val="918585"/>
      <w:sz w:val="20"/>
    </w:rPr>
  </w:style>
  <w:style w:type="paragraph" w:styleId="Heading7">
    <w:name w:val="heading 7"/>
    <w:basedOn w:val="Normal"/>
    <w:next w:val="Normal"/>
    <w:link w:val="Heading7Char"/>
    <w:qFormat/>
    <w:rsid w:val="00B11B86"/>
    <w:pPr>
      <w:ind w:left="720"/>
      <w:outlineLvl w:val="6"/>
    </w:pPr>
    <w:rPr>
      <w:i/>
    </w:rPr>
  </w:style>
  <w:style w:type="paragraph" w:styleId="Heading8">
    <w:name w:val="heading 8"/>
    <w:basedOn w:val="Normal"/>
    <w:next w:val="Normal"/>
    <w:link w:val="Heading8Char"/>
    <w:qFormat/>
    <w:rsid w:val="00B11B86"/>
    <w:pPr>
      <w:ind w:left="720"/>
      <w:outlineLvl w:val="7"/>
    </w:pPr>
    <w:rPr>
      <w:i/>
    </w:rPr>
  </w:style>
  <w:style w:type="paragraph" w:styleId="Heading9">
    <w:name w:val="heading 9"/>
    <w:basedOn w:val="Normal"/>
    <w:next w:val="Normal"/>
    <w:link w:val="Heading9Char"/>
    <w:qFormat/>
    <w:rsid w:val="00B11B86"/>
    <w:pPr>
      <w:ind w:left="720"/>
      <w:outlineLvl w:val="8"/>
    </w:pPr>
    <w:rPr>
      <w:i/>
    </w:rPr>
  </w:style>
  <w:style w:type="character" w:default="1" w:styleId="DefaultParagraphFont">
    <w:name w:val="Default Paragraph Font"/>
    <w:uiPriority w:val="1"/>
    <w:unhideWhenUsed/>
    <w:rsid w:val="00B11B8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11B86"/>
  </w:style>
  <w:style w:type="character" w:customStyle="1" w:styleId="Heading1Char">
    <w:name w:val="Heading 1 Char"/>
    <w:basedOn w:val="DefaultParagraphFont"/>
    <w:link w:val="Heading1"/>
    <w:rsid w:val="00B11B86"/>
    <w:rPr>
      <w:rFonts w:ascii="Times New Roman" w:eastAsia="Times New Roman" w:hAnsi="Times New Roman" w:cs="Times New Roman"/>
      <w:b/>
      <w:sz w:val="32"/>
      <w:szCs w:val="20"/>
      <w:lang w:eastAsia="en-US"/>
    </w:rPr>
  </w:style>
  <w:style w:type="paragraph" w:styleId="BodyText">
    <w:name w:val="Body Text"/>
    <w:basedOn w:val="Normal"/>
    <w:link w:val="BodyTextChar"/>
    <w:rsid w:val="00B11B8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11B86"/>
    <w:rPr>
      <w:rFonts w:ascii="Times New Roman" w:eastAsia="Times New Roman" w:hAnsi="Times New Roman" w:cs="Times New Roman"/>
      <w:sz w:val="24"/>
      <w:lang w:val="en-US" w:eastAsia="en-US"/>
    </w:rPr>
  </w:style>
  <w:style w:type="paragraph" w:styleId="Footer">
    <w:name w:val="footer"/>
    <w:basedOn w:val="Normal"/>
    <w:link w:val="FooterChar"/>
    <w:rsid w:val="00B11B8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11B86"/>
    <w:rPr>
      <w:rFonts w:ascii="Times New Roman" w:eastAsia="Times New Roman" w:hAnsi="Times New Roman" w:cs="Times New Roman"/>
      <w:sz w:val="16"/>
      <w:lang w:val="en-US" w:eastAsia="en-US"/>
    </w:rPr>
  </w:style>
  <w:style w:type="paragraph" w:styleId="List">
    <w:name w:val="List"/>
    <w:basedOn w:val="BodyText"/>
    <w:next w:val="BodyText"/>
    <w:rsid w:val="00B11B86"/>
    <w:pPr>
      <w:tabs>
        <w:tab w:val="left" w:pos="340"/>
      </w:tabs>
      <w:spacing w:before="60" w:after="60"/>
      <w:ind w:left="340" w:hanging="340"/>
    </w:pPr>
  </w:style>
  <w:style w:type="paragraph" w:styleId="ListBullet">
    <w:name w:val="List Bullet"/>
    <w:basedOn w:val="List"/>
    <w:rsid w:val="00B11B86"/>
    <w:pPr>
      <w:numPr>
        <w:numId w:val="12"/>
      </w:numPr>
      <w:tabs>
        <w:tab w:val="clear" w:pos="340"/>
      </w:tabs>
      <w:spacing w:before="40" w:after="40"/>
    </w:pPr>
  </w:style>
  <w:style w:type="character" w:customStyle="1" w:styleId="SpecialBold">
    <w:name w:val="Special Bold"/>
    <w:basedOn w:val="DefaultParagraphFont"/>
    <w:rsid w:val="00B11B86"/>
    <w:rPr>
      <w:b/>
      <w:spacing w:val="0"/>
    </w:rPr>
  </w:style>
  <w:style w:type="paragraph" w:styleId="Header">
    <w:name w:val="header"/>
    <w:basedOn w:val="Normal"/>
    <w:link w:val="HeaderChar"/>
    <w:rsid w:val="00B11B8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11B86"/>
    <w:rPr>
      <w:rFonts w:ascii="Times New Roman" w:eastAsia="Times New Roman" w:hAnsi="Times New Roman" w:cs="Times New Roman"/>
      <w:sz w:val="16"/>
      <w:szCs w:val="20"/>
      <w:lang w:val="en-GB" w:eastAsia="en-US"/>
    </w:rPr>
  </w:style>
  <w:style w:type="paragraph" w:customStyle="1" w:styleId="SuperHeading">
    <w:name w:val="SuperHeading"/>
    <w:basedOn w:val="Normal"/>
    <w:rsid w:val="00B11B86"/>
    <w:pPr>
      <w:spacing w:before="240" w:after="120"/>
      <w:outlineLvl w:val="0"/>
    </w:pPr>
    <w:rPr>
      <w:rFonts w:ascii="Times New Roman" w:hAnsi="Times New Roman"/>
      <w:b/>
      <w:sz w:val="28"/>
    </w:rPr>
  </w:style>
  <w:style w:type="paragraph" w:customStyle="1" w:styleId="AllowPageBreak">
    <w:name w:val="AllowPageBreak"/>
    <w:rsid w:val="00B11B86"/>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B11B86"/>
    <w:pPr>
      <w:tabs>
        <w:tab w:val="left" w:pos="680"/>
      </w:tabs>
      <w:spacing w:before="60" w:after="60"/>
      <w:ind w:left="680" w:hanging="340"/>
    </w:pPr>
  </w:style>
  <w:style w:type="character" w:customStyle="1" w:styleId="BoldandItalics">
    <w:name w:val="Bold and Italics"/>
    <w:qFormat/>
    <w:rsid w:val="00B11B86"/>
    <w:rPr>
      <w:b/>
      <w:i/>
      <w:u w:val="none"/>
    </w:rPr>
  </w:style>
  <w:style w:type="character" w:customStyle="1" w:styleId="Heading2Char">
    <w:name w:val="Heading 2 Char"/>
    <w:basedOn w:val="DefaultParagraphFont"/>
    <w:link w:val="Heading2"/>
    <w:rsid w:val="00B11B8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11B8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11B8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11B8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11B8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11B8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11B8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11B86"/>
    <w:rPr>
      <w:rFonts w:ascii="Courier New" w:eastAsia="Times New Roman" w:hAnsi="Courier New" w:cs="Times New Roman"/>
      <w:i/>
      <w:szCs w:val="20"/>
      <w:lang w:val="en-US" w:eastAsia="en-US"/>
    </w:rPr>
  </w:style>
  <w:style w:type="paragraph" w:customStyle="1" w:styleId="HeadingBase">
    <w:name w:val="Heading Base"/>
    <w:rsid w:val="00B11B8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11B86"/>
    <w:pPr>
      <w:tabs>
        <w:tab w:val="right" w:leader="dot" w:pos="9072"/>
      </w:tabs>
      <w:ind w:left="567"/>
    </w:pPr>
    <w:rPr>
      <w:szCs w:val="22"/>
    </w:rPr>
  </w:style>
  <w:style w:type="paragraph" w:customStyle="1" w:styleId="TOCBase">
    <w:name w:val="TOC Base"/>
    <w:rsid w:val="00B11B8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11B86"/>
    <w:pPr>
      <w:tabs>
        <w:tab w:val="right" w:leader="dot" w:pos="9072"/>
      </w:tabs>
      <w:spacing w:before="40" w:after="40"/>
      <w:ind w:left="284"/>
    </w:pPr>
    <w:rPr>
      <w:rFonts w:ascii="Times New Roman" w:hAnsi="Times New Roman"/>
    </w:rPr>
  </w:style>
  <w:style w:type="paragraph" w:styleId="TOC1">
    <w:name w:val="toc 1"/>
    <w:basedOn w:val="TOCBase"/>
    <w:next w:val="Normal"/>
    <w:rsid w:val="00B11B8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11B86"/>
    <w:pPr>
      <w:spacing w:before="5040"/>
      <w:jc w:val="center"/>
    </w:pPr>
    <w:rPr>
      <w:sz w:val="48"/>
      <w:szCs w:val="72"/>
      <w:lang w:val="en-US"/>
    </w:rPr>
  </w:style>
  <w:style w:type="character" w:customStyle="1" w:styleId="TitleChar">
    <w:name w:val="Title Char"/>
    <w:basedOn w:val="DefaultParagraphFont"/>
    <w:link w:val="Title"/>
    <w:rsid w:val="00B11B8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11B86"/>
    <w:pPr>
      <w:tabs>
        <w:tab w:val="left" w:pos="3600"/>
        <w:tab w:val="left" w:pos="3958"/>
      </w:tabs>
    </w:pPr>
  </w:style>
  <w:style w:type="paragraph" w:customStyle="1" w:styleId="Note">
    <w:name w:val="Note"/>
    <w:basedOn w:val="BodyText"/>
    <w:rsid w:val="00B11B8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11B86"/>
    <w:pPr>
      <w:framePr w:wrap="auto" w:hAnchor="text" w:y="6049"/>
    </w:pPr>
    <w:rPr>
      <w:color w:val="000000"/>
      <w:sz w:val="40"/>
    </w:rPr>
  </w:style>
  <w:style w:type="paragraph" w:customStyle="1" w:styleId="TOCTitle">
    <w:name w:val="TOCTitle"/>
    <w:basedOn w:val="Heading1"/>
    <w:rsid w:val="00B11B86"/>
    <w:pPr>
      <w:spacing w:after="240"/>
      <w:jc w:val="center"/>
      <w:outlineLvl w:val="9"/>
    </w:pPr>
    <w:rPr>
      <w:caps/>
    </w:rPr>
  </w:style>
  <w:style w:type="paragraph" w:customStyle="1" w:styleId="Version">
    <w:name w:val="Version"/>
    <w:rsid w:val="00B11B8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11B86"/>
    <w:pPr>
      <w:numPr>
        <w:numId w:val="13"/>
      </w:numPr>
      <w:tabs>
        <w:tab w:val="clear" w:pos="680"/>
      </w:tabs>
    </w:pPr>
  </w:style>
  <w:style w:type="paragraph" w:styleId="Index1">
    <w:name w:val="index 1"/>
    <w:basedOn w:val="Normal"/>
    <w:next w:val="Normal"/>
    <w:semiHidden/>
    <w:rsid w:val="00B11B86"/>
    <w:pPr>
      <w:keepNext w:val="0"/>
      <w:tabs>
        <w:tab w:val="right" w:pos="4176"/>
      </w:tabs>
      <w:ind w:left="198" w:hanging="198"/>
    </w:pPr>
    <w:rPr>
      <w:rFonts w:ascii="Garamond" w:hAnsi="Garamond"/>
    </w:rPr>
  </w:style>
  <w:style w:type="paragraph" w:styleId="IndexHeading">
    <w:name w:val="index heading"/>
    <w:basedOn w:val="Normal"/>
    <w:next w:val="Index1"/>
    <w:semiHidden/>
    <w:rsid w:val="00B11B86"/>
    <w:pPr>
      <w:spacing w:before="120" w:after="120"/>
    </w:pPr>
    <w:rPr>
      <w:rFonts w:ascii="Arial" w:hAnsi="Arial"/>
      <w:b/>
      <w:color w:val="918585"/>
      <w:sz w:val="24"/>
    </w:rPr>
  </w:style>
  <w:style w:type="paragraph" w:customStyle="1" w:styleId="Chapter">
    <w:name w:val="Chapter"/>
    <w:basedOn w:val="Normal"/>
    <w:rsid w:val="00B11B86"/>
    <w:pPr>
      <w:spacing w:before="240"/>
    </w:pPr>
    <w:rPr>
      <w:rFonts w:ascii="Times New Roman" w:hAnsi="Times New Roman"/>
      <w:smallCaps/>
      <w:spacing w:val="80"/>
      <w:sz w:val="28"/>
    </w:rPr>
  </w:style>
  <w:style w:type="paragraph" w:customStyle="1" w:styleId="InChapter">
    <w:name w:val="InChapter"/>
    <w:basedOn w:val="Heading3"/>
    <w:rsid w:val="00B11B86"/>
    <w:pPr>
      <w:spacing w:after="240"/>
      <w:outlineLvl w:val="9"/>
    </w:pPr>
    <w:rPr>
      <w:noProof/>
    </w:rPr>
  </w:style>
  <w:style w:type="paragraph" w:styleId="Index2">
    <w:name w:val="index 2"/>
    <w:basedOn w:val="Normal"/>
    <w:next w:val="Normal"/>
    <w:semiHidden/>
    <w:rsid w:val="00B11B86"/>
    <w:pPr>
      <w:tabs>
        <w:tab w:val="right" w:pos="4176"/>
      </w:tabs>
      <w:ind w:left="568" w:hanging="284"/>
    </w:pPr>
    <w:rPr>
      <w:rFonts w:ascii="Garamond" w:hAnsi="Garamond"/>
    </w:rPr>
  </w:style>
  <w:style w:type="paragraph" w:customStyle="1" w:styleId="Byline">
    <w:name w:val="Byline"/>
    <w:rsid w:val="00B11B8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11B86"/>
    <w:pPr>
      <w:tabs>
        <w:tab w:val="clear" w:pos="3600"/>
        <w:tab w:val="clear" w:pos="3958"/>
      </w:tabs>
      <w:jc w:val="right"/>
    </w:pPr>
  </w:style>
  <w:style w:type="character" w:styleId="Emphasis">
    <w:name w:val="Emphasis"/>
    <w:basedOn w:val="DefaultParagraphFont"/>
    <w:qFormat/>
    <w:rsid w:val="00B11B86"/>
    <w:rPr>
      <w:i/>
    </w:rPr>
  </w:style>
  <w:style w:type="paragraph" w:styleId="Caption">
    <w:name w:val="caption"/>
    <w:basedOn w:val="BodyText"/>
    <w:next w:val="Normal"/>
    <w:qFormat/>
    <w:rsid w:val="00B11B86"/>
    <w:pPr>
      <w:framePr w:w="2268" w:hSpace="181" w:vSpace="181" w:wrap="around" w:vAnchor="text" w:hAnchor="page" w:x="1135" w:y="285" w:anchorLock="1"/>
    </w:pPr>
    <w:rPr>
      <w:i/>
    </w:rPr>
  </w:style>
  <w:style w:type="paragraph" w:customStyle="1" w:styleId="MiniTOCTitle">
    <w:name w:val="MiniTOCTitle"/>
    <w:basedOn w:val="Heading4"/>
    <w:rsid w:val="00B11B86"/>
    <w:pPr>
      <w:spacing w:before="240"/>
      <w:outlineLvl w:val="9"/>
    </w:pPr>
    <w:rPr>
      <w:noProof/>
      <w:sz w:val="24"/>
    </w:rPr>
  </w:style>
  <w:style w:type="paragraph" w:customStyle="1" w:styleId="MiniTOCItem">
    <w:name w:val="MiniTOCItem"/>
    <w:basedOn w:val="ListBullet"/>
    <w:rsid w:val="00B11B86"/>
    <w:pPr>
      <w:numPr>
        <w:numId w:val="0"/>
      </w:numPr>
      <w:tabs>
        <w:tab w:val="right" w:leader="dot" w:pos="6521"/>
      </w:tabs>
      <w:spacing w:before="0" w:after="0"/>
    </w:pPr>
  </w:style>
  <w:style w:type="paragraph" w:customStyle="1" w:styleId="TOFTitle">
    <w:name w:val="TOFTitle"/>
    <w:basedOn w:val="TOCTitle"/>
    <w:rsid w:val="00B11B86"/>
  </w:style>
  <w:style w:type="paragraph" w:styleId="TableofFigures">
    <w:name w:val="table of figures"/>
    <w:basedOn w:val="Normal"/>
    <w:next w:val="Normal"/>
    <w:semiHidden/>
    <w:rsid w:val="00B11B86"/>
    <w:pPr>
      <w:tabs>
        <w:tab w:val="right" w:leader="dot" w:pos="9072"/>
      </w:tabs>
      <w:ind w:left="970" w:hanging="403"/>
    </w:pPr>
    <w:rPr>
      <w:rFonts w:ascii="Times New Roman" w:hAnsi="Times New Roman"/>
      <w:b/>
    </w:rPr>
  </w:style>
  <w:style w:type="paragraph" w:styleId="ListNumber">
    <w:name w:val="List Number"/>
    <w:basedOn w:val="List"/>
    <w:rsid w:val="00B11B86"/>
    <w:pPr>
      <w:numPr>
        <w:numId w:val="10"/>
      </w:numPr>
    </w:pPr>
  </w:style>
  <w:style w:type="character" w:customStyle="1" w:styleId="WingdingSymbols">
    <w:name w:val="Wingding Symbols"/>
    <w:rsid w:val="00B11B86"/>
    <w:rPr>
      <w:rFonts w:ascii="Wingdings" w:hAnsi="Wingdings"/>
    </w:rPr>
  </w:style>
  <w:style w:type="paragraph" w:customStyle="1" w:styleId="TableHeading">
    <w:name w:val="Table Heading"/>
    <w:basedOn w:val="HeadingBase"/>
    <w:rsid w:val="00B11B86"/>
    <w:pPr>
      <w:keepLines/>
      <w:pBdr>
        <w:bottom w:val="single" w:sz="6" w:space="1" w:color="918585"/>
      </w:pBdr>
      <w:spacing w:before="240"/>
    </w:pPr>
  </w:style>
  <w:style w:type="character" w:customStyle="1" w:styleId="HotSpot">
    <w:name w:val="HotSpot"/>
    <w:rsid w:val="00B11B86"/>
    <w:rPr>
      <w:color w:val="0033CC"/>
      <w:u w:val="none"/>
    </w:rPr>
  </w:style>
  <w:style w:type="paragraph" w:customStyle="1" w:styleId="BodyTextRight">
    <w:name w:val="Body Text Right"/>
    <w:basedOn w:val="BodyText"/>
    <w:rsid w:val="00B11B86"/>
    <w:pPr>
      <w:spacing w:before="0" w:after="0"/>
      <w:jc w:val="right"/>
    </w:pPr>
  </w:style>
  <w:style w:type="paragraph" w:styleId="Index3">
    <w:name w:val="index 3"/>
    <w:basedOn w:val="ListNumber2"/>
    <w:next w:val="Normal"/>
    <w:semiHidden/>
    <w:rsid w:val="00B11B86"/>
    <w:pPr>
      <w:numPr>
        <w:numId w:val="0"/>
      </w:numPr>
      <w:tabs>
        <w:tab w:val="right" w:leader="dot" w:pos="4176"/>
      </w:tabs>
    </w:pPr>
  </w:style>
  <w:style w:type="paragraph" w:styleId="ListNumber2">
    <w:name w:val="List Number 2"/>
    <w:basedOn w:val="List2"/>
    <w:rsid w:val="00B11B86"/>
    <w:pPr>
      <w:numPr>
        <w:numId w:val="9"/>
      </w:numPr>
      <w:tabs>
        <w:tab w:val="clear" w:pos="1060"/>
      </w:tabs>
    </w:pPr>
  </w:style>
  <w:style w:type="paragraph" w:customStyle="1" w:styleId="MarginNote">
    <w:name w:val="Margin Note"/>
    <w:basedOn w:val="BodyText"/>
    <w:rsid w:val="00B11B8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11B8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11B8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11B86"/>
    <w:rPr>
      <w:sz w:val="32"/>
    </w:rPr>
  </w:style>
  <w:style w:type="paragraph" w:customStyle="1" w:styleId="HeadingProcedure">
    <w:name w:val="Heading Procedure"/>
    <w:basedOn w:val="HeadingBase"/>
    <w:next w:val="Normal"/>
    <w:rsid w:val="00B11B86"/>
    <w:pPr>
      <w:tabs>
        <w:tab w:val="left" w:pos="0"/>
      </w:tabs>
      <w:spacing w:before="120" w:after="60"/>
    </w:pPr>
    <w:rPr>
      <w:i/>
      <w:color w:val="918585"/>
      <w:sz w:val="22"/>
    </w:rPr>
  </w:style>
  <w:style w:type="paragraph" w:customStyle="1" w:styleId="TableBodyText">
    <w:name w:val="Table Body Text"/>
    <w:basedOn w:val="BodyText"/>
    <w:rsid w:val="00B11B86"/>
    <w:pPr>
      <w:spacing w:before="60" w:after="60"/>
    </w:pPr>
  </w:style>
  <w:style w:type="paragraph" w:styleId="ListContinue">
    <w:name w:val="List Continue"/>
    <w:basedOn w:val="List"/>
    <w:rsid w:val="00B11B86"/>
    <w:pPr>
      <w:ind w:firstLine="0"/>
    </w:pPr>
  </w:style>
  <w:style w:type="paragraph" w:customStyle="1" w:styleId="ListNote">
    <w:name w:val="List Note"/>
    <w:basedOn w:val="List"/>
    <w:rsid w:val="00B11B86"/>
    <w:pPr>
      <w:pBdr>
        <w:top w:val="single" w:sz="6" w:space="2" w:color="918585"/>
        <w:bottom w:val="single" w:sz="6" w:space="2" w:color="918585"/>
      </w:pBdr>
      <w:tabs>
        <w:tab w:val="left" w:pos="1021"/>
      </w:tabs>
      <w:ind w:firstLine="0"/>
    </w:pPr>
  </w:style>
  <w:style w:type="paragraph" w:customStyle="1" w:styleId="Warning">
    <w:name w:val="Warning"/>
    <w:basedOn w:val="BodyText"/>
    <w:rsid w:val="00B11B86"/>
    <w:pPr>
      <w:shd w:val="clear" w:color="auto" w:fill="D9D9D9"/>
      <w:tabs>
        <w:tab w:val="left" w:pos="992"/>
      </w:tabs>
      <w:ind w:left="119" w:right="119"/>
    </w:pPr>
    <w:rPr>
      <w:sz w:val="20"/>
    </w:rPr>
  </w:style>
  <w:style w:type="paragraph" w:customStyle="1" w:styleId="MarginIcons">
    <w:name w:val="Margin Icons"/>
    <w:basedOn w:val="BodyText"/>
    <w:rsid w:val="00B11B8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11B86"/>
    <w:rPr>
      <w:rFonts w:ascii="Courier New" w:hAnsi="Courier New"/>
    </w:rPr>
  </w:style>
  <w:style w:type="paragraph" w:customStyle="1" w:styleId="NoteBullet">
    <w:name w:val="Note Bullet"/>
    <w:basedOn w:val="Note"/>
    <w:rsid w:val="00B11B86"/>
    <w:pPr>
      <w:tabs>
        <w:tab w:val="clear" w:pos="680"/>
      </w:tabs>
      <w:spacing w:before="60" w:after="60"/>
    </w:pPr>
  </w:style>
  <w:style w:type="paragraph" w:customStyle="1" w:styleId="SubHeading2">
    <w:name w:val="SubHeading2"/>
    <w:basedOn w:val="HeadingBase"/>
    <w:rsid w:val="00B11B86"/>
    <w:pPr>
      <w:spacing w:before="240" w:after="60"/>
    </w:pPr>
    <w:rPr>
      <w:sz w:val="20"/>
    </w:rPr>
  </w:style>
  <w:style w:type="paragraph" w:customStyle="1" w:styleId="SubHeading1">
    <w:name w:val="SubHeading1"/>
    <w:basedOn w:val="HeadingBase"/>
    <w:rsid w:val="00B11B86"/>
    <w:pPr>
      <w:spacing w:before="240" w:after="60"/>
    </w:pPr>
    <w:rPr>
      <w:color w:val="918585"/>
      <w:sz w:val="22"/>
    </w:rPr>
  </w:style>
  <w:style w:type="paragraph" w:customStyle="1" w:styleId="SideHeading">
    <w:name w:val="Side Heading"/>
    <w:basedOn w:val="HeadingBase"/>
    <w:rsid w:val="00B11B8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11B86"/>
    <w:pPr>
      <w:tabs>
        <w:tab w:val="num" w:pos="360"/>
      </w:tabs>
    </w:pPr>
  </w:style>
  <w:style w:type="paragraph" w:styleId="PlainText">
    <w:name w:val="Plain Text"/>
    <w:basedOn w:val="Normal"/>
    <w:link w:val="PlainTextChar"/>
    <w:rsid w:val="00B11B86"/>
    <w:rPr>
      <w:sz w:val="20"/>
    </w:rPr>
  </w:style>
  <w:style w:type="character" w:customStyle="1" w:styleId="PlainTextChar">
    <w:name w:val="Plain Text Char"/>
    <w:basedOn w:val="DefaultParagraphFont"/>
    <w:link w:val="PlainText"/>
    <w:rsid w:val="00B11B8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B11B86"/>
    <w:rPr>
      <w:b/>
      <w:smallCaps/>
    </w:rPr>
  </w:style>
  <w:style w:type="paragraph" w:customStyle="1" w:styleId="TableListNumber">
    <w:name w:val="Table List Number"/>
    <w:basedOn w:val="ListNumber"/>
    <w:rsid w:val="00B11B86"/>
    <w:pPr>
      <w:numPr>
        <w:numId w:val="0"/>
      </w:numPr>
    </w:pPr>
  </w:style>
  <w:style w:type="paragraph" w:styleId="TOC4">
    <w:name w:val="toc 4"/>
    <w:basedOn w:val="TOCBase"/>
    <w:next w:val="Normal"/>
    <w:semiHidden/>
    <w:rsid w:val="00B11B86"/>
    <w:pPr>
      <w:tabs>
        <w:tab w:val="right" w:leader="dot" w:pos="9071"/>
      </w:tabs>
      <w:ind w:left="1701"/>
    </w:pPr>
  </w:style>
  <w:style w:type="paragraph" w:customStyle="1" w:styleId="ListAlpha">
    <w:name w:val="List Alpha"/>
    <w:basedOn w:val="List"/>
    <w:rsid w:val="00B11B86"/>
    <w:pPr>
      <w:numPr>
        <w:numId w:val="8"/>
      </w:numPr>
    </w:pPr>
  </w:style>
  <w:style w:type="paragraph" w:customStyle="1" w:styleId="ListAlpha2">
    <w:name w:val="List Alpha 2"/>
    <w:basedOn w:val="List2"/>
    <w:rsid w:val="00B11B86"/>
    <w:pPr>
      <w:numPr>
        <w:numId w:val="7"/>
      </w:numPr>
    </w:pPr>
  </w:style>
  <w:style w:type="paragraph" w:styleId="List3">
    <w:name w:val="List 3"/>
    <w:basedOn w:val="BodyText"/>
    <w:rsid w:val="00B11B86"/>
    <w:pPr>
      <w:tabs>
        <w:tab w:val="left" w:pos="1021"/>
      </w:tabs>
      <w:spacing w:before="60" w:after="60"/>
      <w:ind w:left="1020" w:hanging="340"/>
    </w:pPr>
  </w:style>
  <w:style w:type="paragraph" w:styleId="List4">
    <w:name w:val="List 4"/>
    <w:basedOn w:val="BodyText"/>
    <w:rsid w:val="00B11B86"/>
    <w:pPr>
      <w:tabs>
        <w:tab w:val="left" w:pos="1361"/>
      </w:tabs>
      <w:spacing w:before="60" w:after="60"/>
      <w:ind w:left="1361" w:hanging="340"/>
    </w:pPr>
  </w:style>
  <w:style w:type="paragraph" w:styleId="List5">
    <w:name w:val="List 5"/>
    <w:basedOn w:val="BodyText"/>
    <w:rsid w:val="00B11B86"/>
    <w:pPr>
      <w:tabs>
        <w:tab w:val="left" w:pos="1701"/>
      </w:tabs>
      <w:spacing w:before="60" w:after="60"/>
      <w:ind w:left="1701" w:hanging="340"/>
    </w:pPr>
  </w:style>
  <w:style w:type="paragraph" w:styleId="ListBullet3">
    <w:name w:val="List Bullet 3"/>
    <w:basedOn w:val="List3"/>
    <w:rsid w:val="00B11B86"/>
    <w:pPr>
      <w:numPr>
        <w:numId w:val="14"/>
      </w:numPr>
      <w:tabs>
        <w:tab w:val="clear" w:pos="1021"/>
      </w:tabs>
      <w:ind w:left="1037" w:hanging="357"/>
    </w:pPr>
  </w:style>
  <w:style w:type="paragraph" w:styleId="ListBullet4">
    <w:name w:val="List Bullet 4"/>
    <w:basedOn w:val="List4"/>
    <w:rsid w:val="00B11B86"/>
    <w:pPr>
      <w:numPr>
        <w:numId w:val="2"/>
      </w:numPr>
    </w:pPr>
  </w:style>
  <w:style w:type="paragraph" w:styleId="ListBullet5">
    <w:name w:val="List Bullet 5"/>
    <w:basedOn w:val="List5"/>
    <w:rsid w:val="00B11B86"/>
    <w:pPr>
      <w:numPr>
        <w:numId w:val="3"/>
      </w:numPr>
    </w:pPr>
  </w:style>
  <w:style w:type="paragraph" w:styleId="ListContinue2">
    <w:name w:val="List Continue 2"/>
    <w:basedOn w:val="List2"/>
    <w:rsid w:val="00B11B86"/>
    <w:pPr>
      <w:ind w:firstLine="0"/>
    </w:pPr>
  </w:style>
  <w:style w:type="paragraph" w:styleId="ListContinue3">
    <w:name w:val="List Continue 3"/>
    <w:basedOn w:val="List3"/>
    <w:rsid w:val="00B11B86"/>
    <w:pPr>
      <w:ind w:left="1021" w:firstLine="0"/>
    </w:pPr>
  </w:style>
  <w:style w:type="paragraph" w:styleId="ListContinue4">
    <w:name w:val="List Continue 4"/>
    <w:basedOn w:val="List4"/>
    <w:rsid w:val="00B11B86"/>
    <w:pPr>
      <w:ind w:firstLine="0"/>
    </w:pPr>
  </w:style>
  <w:style w:type="paragraph" w:styleId="ListContinue5">
    <w:name w:val="List Continue 5"/>
    <w:basedOn w:val="List5"/>
    <w:rsid w:val="00B11B86"/>
    <w:pPr>
      <w:ind w:firstLine="0"/>
    </w:pPr>
  </w:style>
  <w:style w:type="paragraph" w:styleId="ListNumber3">
    <w:name w:val="List Number 3"/>
    <w:basedOn w:val="List3"/>
    <w:rsid w:val="00B11B86"/>
    <w:pPr>
      <w:numPr>
        <w:numId w:val="4"/>
      </w:numPr>
    </w:pPr>
  </w:style>
  <w:style w:type="paragraph" w:styleId="ListNumber4">
    <w:name w:val="List Number 4"/>
    <w:basedOn w:val="List4"/>
    <w:rsid w:val="00B11B86"/>
    <w:pPr>
      <w:numPr>
        <w:numId w:val="5"/>
      </w:numPr>
    </w:pPr>
  </w:style>
  <w:style w:type="paragraph" w:styleId="ListNumber5">
    <w:name w:val="List Number 5"/>
    <w:basedOn w:val="List5"/>
    <w:rsid w:val="00B11B86"/>
    <w:pPr>
      <w:numPr>
        <w:numId w:val="6"/>
      </w:numPr>
    </w:pPr>
  </w:style>
  <w:style w:type="paragraph" w:styleId="BlockText">
    <w:name w:val="Block Text"/>
    <w:basedOn w:val="Normal"/>
    <w:rsid w:val="00B11B86"/>
    <w:pPr>
      <w:spacing w:after="120"/>
      <w:ind w:left="1440" w:right="1440"/>
    </w:pPr>
  </w:style>
  <w:style w:type="character" w:customStyle="1" w:styleId="Subscript">
    <w:name w:val="Subscript"/>
    <w:basedOn w:val="DefaultParagraphFont"/>
    <w:rsid w:val="00B11B86"/>
    <w:rPr>
      <w:sz w:val="16"/>
      <w:vertAlign w:val="subscript"/>
    </w:rPr>
  </w:style>
  <w:style w:type="character" w:customStyle="1" w:styleId="Superscript">
    <w:name w:val="Superscript"/>
    <w:basedOn w:val="DefaultParagraphFont"/>
    <w:rsid w:val="00B11B86"/>
    <w:rPr>
      <w:sz w:val="16"/>
      <w:vertAlign w:val="superscript"/>
    </w:rPr>
  </w:style>
  <w:style w:type="character" w:customStyle="1" w:styleId="Symbols">
    <w:name w:val="Symbols"/>
    <w:basedOn w:val="DefaultParagraphFont"/>
    <w:rsid w:val="00B11B86"/>
    <w:rPr>
      <w:rFonts w:ascii="Symbol" w:hAnsi="Symbol"/>
    </w:rPr>
  </w:style>
  <w:style w:type="character" w:customStyle="1" w:styleId="MenuOptions">
    <w:name w:val="Menu Options"/>
    <w:basedOn w:val="DefaultParagraphFont"/>
    <w:rsid w:val="00B11B86"/>
    <w:rPr>
      <w:rFonts w:ascii="Arial Narrow" w:hAnsi="Arial Narrow"/>
      <w:smallCaps/>
    </w:rPr>
  </w:style>
  <w:style w:type="character" w:customStyle="1" w:styleId="Buttons">
    <w:name w:val="Buttons"/>
    <w:basedOn w:val="DefaultParagraphFont"/>
    <w:rsid w:val="00B11B86"/>
    <w:rPr>
      <w:b/>
    </w:rPr>
  </w:style>
  <w:style w:type="character" w:customStyle="1" w:styleId="Underlined">
    <w:name w:val="Underlined"/>
    <w:basedOn w:val="DefaultParagraphFont"/>
    <w:rsid w:val="00B11B86"/>
    <w:rPr>
      <w:u w:val="single"/>
    </w:rPr>
  </w:style>
  <w:style w:type="paragraph" w:customStyle="1" w:styleId="TableBodyTextRight">
    <w:name w:val="Table Body Text Right"/>
    <w:basedOn w:val="TableBodyText"/>
    <w:rsid w:val="00B11B86"/>
    <w:pPr>
      <w:widowControl w:val="0"/>
      <w:autoSpaceDE w:val="0"/>
      <w:autoSpaceDN w:val="0"/>
      <w:adjustRightInd w:val="0"/>
      <w:jc w:val="right"/>
    </w:pPr>
    <w:rPr>
      <w:rFonts w:cs="Arial"/>
      <w:szCs w:val="18"/>
    </w:rPr>
  </w:style>
  <w:style w:type="paragraph" w:customStyle="1" w:styleId="CopyrightText">
    <w:name w:val="Copyright Text"/>
    <w:basedOn w:val="BodyText"/>
    <w:rsid w:val="00B11B86"/>
    <w:rPr>
      <w:sz w:val="18"/>
    </w:rPr>
  </w:style>
  <w:style w:type="paragraph" w:customStyle="1" w:styleId="BodySmallRight">
    <w:name w:val="Body Small Right"/>
    <w:basedOn w:val="BodyTextRight"/>
    <w:rsid w:val="00B11B86"/>
    <w:rPr>
      <w:sz w:val="18"/>
      <w:szCs w:val="18"/>
    </w:rPr>
  </w:style>
  <w:style w:type="paragraph" w:customStyle="1" w:styleId="MarginEdition">
    <w:name w:val="Margin Edition"/>
    <w:basedOn w:val="MarginNote"/>
    <w:rsid w:val="00B11B86"/>
    <w:pPr>
      <w:spacing w:before="0" w:after="0"/>
    </w:pPr>
    <w:rPr>
      <w:rFonts w:ascii="Times New Roman" w:hAnsi="Times New Roman"/>
      <w:color w:val="999999"/>
    </w:rPr>
  </w:style>
  <w:style w:type="paragraph" w:customStyle="1" w:styleId="Spacer">
    <w:name w:val="Spacer"/>
    <w:basedOn w:val="Normal"/>
    <w:rsid w:val="00B11B86"/>
    <w:rPr>
      <w:sz w:val="2"/>
      <w:szCs w:val="2"/>
    </w:rPr>
  </w:style>
  <w:style w:type="character" w:customStyle="1" w:styleId="Small">
    <w:name w:val="Small"/>
    <w:basedOn w:val="DefaultParagraphFont"/>
    <w:rsid w:val="00B11B86"/>
    <w:rPr>
      <w:sz w:val="16"/>
    </w:rPr>
  </w:style>
  <w:style w:type="paragraph" w:customStyle="1" w:styleId="WideTable">
    <w:name w:val="Wide Table"/>
    <w:basedOn w:val="Normal"/>
    <w:rsid w:val="00B11B86"/>
    <w:pPr>
      <w:ind w:left="-1418"/>
    </w:pPr>
    <w:rPr>
      <w:sz w:val="2"/>
      <w:szCs w:val="2"/>
    </w:rPr>
  </w:style>
  <w:style w:type="character" w:styleId="PageNumber">
    <w:name w:val="page number"/>
    <w:basedOn w:val="DefaultParagraphFont"/>
    <w:rsid w:val="00B11B86"/>
  </w:style>
  <w:style w:type="paragraph" w:styleId="Quote">
    <w:name w:val="Quote"/>
    <w:basedOn w:val="Heading1"/>
    <w:link w:val="QuoteChar"/>
    <w:qFormat/>
    <w:rsid w:val="00B11B86"/>
    <w:rPr>
      <w:b w:val="0"/>
      <w:sz w:val="72"/>
      <w:szCs w:val="72"/>
      <w:lang w:val="en-NZ"/>
    </w:rPr>
  </w:style>
  <w:style w:type="character" w:customStyle="1" w:styleId="QuoteChar">
    <w:name w:val="Quote Char"/>
    <w:basedOn w:val="DefaultParagraphFont"/>
    <w:link w:val="Quote"/>
    <w:rsid w:val="00B11B8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11B86"/>
    <w:pPr>
      <w:pageBreakBefore/>
    </w:pPr>
  </w:style>
  <w:style w:type="paragraph" w:customStyle="1" w:styleId="Border">
    <w:name w:val="Border"/>
    <w:basedOn w:val="Normal"/>
    <w:qFormat/>
    <w:rsid w:val="00B11B8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11B86"/>
    <w:rPr>
      <w:b/>
      <w:bCs/>
      <w:i/>
      <w:iCs/>
      <w:color w:val="auto"/>
    </w:rPr>
  </w:style>
  <w:style w:type="paragraph" w:styleId="IntenseQuote">
    <w:name w:val="Intense Quote"/>
    <w:basedOn w:val="Normal"/>
    <w:next w:val="Normal"/>
    <w:link w:val="IntenseQuoteChar"/>
    <w:uiPriority w:val="30"/>
    <w:qFormat/>
    <w:rsid w:val="00B11B8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11B8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B11B86"/>
    <w:rPr>
      <w:smallCaps/>
      <w:color w:val="auto"/>
      <w:u w:val="single"/>
    </w:rPr>
  </w:style>
  <w:style w:type="character" w:styleId="IntenseReference">
    <w:name w:val="Intense Reference"/>
    <w:basedOn w:val="DefaultParagraphFont"/>
    <w:uiPriority w:val="32"/>
    <w:qFormat/>
    <w:rsid w:val="00B11B86"/>
    <w:rPr>
      <w:b/>
      <w:bCs/>
      <w:smallCaps/>
      <w:color w:val="auto"/>
      <w:spacing w:val="5"/>
      <w:u w:val="single"/>
    </w:rPr>
  </w:style>
  <w:style w:type="paragraph" w:customStyle="1" w:styleId="2ColumnHeading">
    <w:name w:val="2Column Heading"/>
    <w:basedOn w:val="BodyText"/>
    <w:qFormat/>
    <w:rsid w:val="00B11B86"/>
    <w:pPr>
      <w:spacing w:after="60"/>
      <w:ind w:left="-2268"/>
    </w:pPr>
    <w:rPr>
      <w:b/>
    </w:rPr>
  </w:style>
  <w:style w:type="paragraph" w:customStyle="1" w:styleId="Heading1TOC">
    <w:name w:val="Heading1 TOC"/>
    <w:basedOn w:val="Normal"/>
    <w:qFormat/>
    <w:rsid w:val="00B11B86"/>
    <w:pPr>
      <w:spacing w:before="240" w:after="120"/>
    </w:pPr>
    <w:rPr>
      <w:rFonts w:ascii="Times New Roman" w:hAnsi="Times New Roman"/>
      <w:b/>
      <w:sz w:val="32"/>
    </w:rPr>
  </w:style>
  <w:style w:type="paragraph" w:customStyle="1" w:styleId="Heading2TOC">
    <w:name w:val="Heading2 TOC"/>
    <w:basedOn w:val="Normal"/>
    <w:qFormat/>
    <w:rsid w:val="00B11B86"/>
    <w:pPr>
      <w:spacing w:before="240" w:after="60"/>
    </w:pPr>
    <w:rPr>
      <w:rFonts w:ascii="Times New Roman" w:hAnsi="Times New Roman"/>
      <w:b/>
      <w:sz w:val="28"/>
    </w:rPr>
  </w:style>
  <w:style w:type="character" w:customStyle="1" w:styleId="Underline">
    <w:name w:val="Underline"/>
    <w:basedOn w:val="DefaultParagraphFont"/>
    <w:qFormat/>
    <w:rsid w:val="00B11B86"/>
    <w:rPr>
      <w:u w:val="single"/>
    </w:rPr>
  </w:style>
  <w:style w:type="paragraph" w:styleId="BalloonText">
    <w:name w:val="Balloon Text"/>
    <w:basedOn w:val="Normal"/>
    <w:link w:val="BalloonTextChar"/>
    <w:rsid w:val="00B11B86"/>
    <w:rPr>
      <w:rFonts w:ascii="Tahoma" w:hAnsi="Tahoma" w:cs="Tahoma"/>
      <w:sz w:val="16"/>
      <w:szCs w:val="16"/>
    </w:rPr>
  </w:style>
  <w:style w:type="character" w:customStyle="1" w:styleId="BalloonTextChar">
    <w:name w:val="Balloon Text Char"/>
    <w:basedOn w:val="DefaultParagraphFont"/>
    <w:link w:val="BalloonText"/>
    <w:rsid w:val="00B11B8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11B8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11B8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818</Words>
  <Characters>5214</Characters>
  <Application>Microsoft Office Word</Application>
  <DocSecurity>0</DocSecurity>
  <Lines>243</Lines>
  <Paragraphs>148</Paragraphs>
  <ScaleCrop>false</ScaleCrop>
  <Company>Author-it Software Corporation Ltd.</Company>
  <LinksUpToDate>false</LinksUpToDate>
  <CharactersWithSpaces>5932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PUADEFCA403B Undertake offensive operations</dc:title>
  <dc:subject>Approved</dc:subject>
  <dc:creator>Government Skills Australia</dc:creator>
  <cp:keywords>Revision Number: 1</cp:keywords>
  <dc:description>Copyright © 1996-2007 Author-it Software Corporation Ltd., all rights reserved.</dc:description>
  <cp:lastModifiedBy>Windows User</cp:lastModifiedBy>
  <cp:revision>3</cp:revision>
  <dcterms:created xsi:type="dcterms:W3CDTF">2012-05-26T04:07:00Z</dcterms:created>
  <dcterms:modified xsi:type="dcterms:W3CDTF">2012-05-26T04:07:00Z</dcterms:modified>
</cp:coreProperties>
</file>