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E52" w:rsidP="00421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PUARCV007 Facilitate long-term recovery planning for a disaster event</w:t>
      </w:r>
      <w:r>
        <w:fldChar w:fldCharType="end"/>
      </w:r>
    </w:p>
    <w:p w:rsidR="00421E52" w:rsidP="00421E52">
      <w:pPr>
        <w:pStyle w:val="Version"/>
        <w:sectPr w:rsidSect="00DB7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3B5" w:rsidP="00DB73B5">
      <w:pPr>
        <w:pStyle w:val="SuperHeading"/>
      </w:pPr>
      <w:r w:rsidRPr="00DB73B5">
        <w:t>PUARCV007 Facilitate long-term recovery planning for a disaster event</w:t>
      </w:r>
    </w:p>
    <w:p w:rsidR="00000000" w:rsidRPr="00DB73B5" w:rsidP="00DB73B5">
      <w:pPr>
        <w:pStyle w:val="Heading1"/>
      </w:pPr>
      <w:bookmarkStart w:id="1" w:name="O_1239515"/>
      <w:bookmarkEnd w:id="1"/>
      <w:r w:rsidRPr="00DB73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Release 1. This is the first release of this unit of competency in the PUA Public Safety Training Package.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2" w:name="O_1239516"/>
      <w:bookmarkEnd w:id="2"/>
      <w:r w:rsidRPr="00DB73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This unit describes the skills and knowledge required to collaboratively develop long-term recovery planning for a specific disaster event. Such plans focus on the principles of disaster recovery.</w:t>
            </w:r>
          </w:p>
          <w:p w:rsidR="00000000" w:rsidRPr="00DB73B5" w:rsidP="00DB73B5">
            <w:pPr>
              <w:pStyle w:val="BodyText"/>
            </w:pPr>
            <w:r w:rsidRPr="00DB73B5">
              <w:t xml:space="preserve">This unit applies to personnel who are responsible for the </w:t>
            </w:r>
            <w:r w:rsidRPr="00DB73B5">
              <w:t>facilitation of long-term recovery planning of a specific disaster event at a local, district or regional level. Long-term recovery planning (as defined by the Australian Disaster Resilience Handbook Collection Community Recovery Handbook 2) is applied acr</w:t>
            </w:r>
            <w:r w:rsidRPr="00DB73B5">
              <w:t xml:space="preserve">oss the four recovery sectors, but not exclusive to the social, built, economic and natural environments. </w:t>
            </w:r>
          </w:p>
          <w:p w:rsidR="00000000" w:rsidRPr="00DB73B5" w:rsidP="00DB73B5">
            <w:pPr>
              <w:pStyle w:val="BodyText"/>
            </w:pPr>
            <w:r w:rsidRPr="00DB73B5">
              <w:t>It includes establishing long-term recovery context and framework, developing agreed planning processes and methodology, researching and analysing lo</w:t>
            </w:r>
            <w:r w:rsidRPr="00DB73B5">
              <w:t>ng-term recovery planning issues, developing and documenting long-term recovery plan, planning for the transition from long-term recovery and reviewing the long-term recovery plan.</w:t>
            </w:r>
          </w:p>
          <w:p w:rsidR="00000000" w:rsidRPr="00DB73B5" w:rsidP="00DB73B5">
            <w:pPr>
              <w:pStyle w:val="BodyText"/>
            </w:pPr>
            <w:r w:rsidRPr="00DB73B5">
              <w:t>This unit involves considerable engagement, communication and planning with</w:t>
            </w:r>
            <w:r w:rsidRPr="00DB73B5">
              <w:t xml:space="preserve"> numerous recovery stakeholders, within a time restricted environment. </w:t>
            </w:r>
          </w:p>
          <w:p w:rsidR="00000000" w:rsidRPr="00DB73B5" w:rsidP="00DB73B5">
            <w:pPr>
              <w:pStyle w:val="BodyText"/>
            </w:pPr>
            <w:r w:rsidRPr="00DB73B5">
              <w:t>No licensing, legislative or certification requirements apply to this unit at the time of publication.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3" w:name="O_1239517"/>
      <w:bookmarkEnd w:id="3"/>
      <w:r w:rsidRPr="00DB73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Not applicable.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4" w:name="O_1239518"/>
      <w:bookmarkEnd w:id="4"/>
      <w:r w:rsidRPr="00DB73B5">
        <w:t>Comp</w:t>
      </w:r>
      <w:r w:rsidRPr="00DB73B5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Recovery.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5" w:name="O_1239519"/>
      <w:bookmarkEnd w:id="5"/>
      <w:r w:rsidRPr="00DB73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Not applicable.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6" w:name="O_1239520"/>
      <w:bookmarkEnd w:id="6"/>
      <w:r w:rsidRPr="00DB73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PERFORMANCE CRITERIA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Performance criteria describe the performance needed to demonstrate achievement of the element.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1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Establish long</w:t>
            </w:r>
            <w:r w:rsidRPr="00DB73B5">
              <w:t>-</w:t>
            </w:r>
            <w:r w:rsidRPr="00DB73B5">
              <w:rPr>
                <w:rStyle w:val="SpecialBold"/>
              </w:rPr>
              <w:t>term recovery context and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Authority to plan is confirmed with reference to legislation, organisational direction, community and</w:t>
            </w:r>
            <w:r w:rsidRPr="00DB73B5">
              <w:t>/or managerial agreement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Long-term recovery planning team is established with appropriate balance of expertise, entity representation and authority to plan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 xml:space="preserve">Recovery sub-committees are established correctly to assist with planning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 xml:space="preserve">Recovery structure is documented and authorisation arrangements for activation are implemented according to jurisdictional arrangements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Develop agreed planning process and methodology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Processes for negotiating outcomes, key performance indicators (</w:t>
            </w:r>
            <w:r w:rsidRPr="00DB73B5">
              <w:t>KPIs), information management, reporting, accountability and decision-making strategies are developed, agreed upon and documented accurately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Planning responsibilities and processes are agreed upon and documented fully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Stakeholder communicatio</w:t>
            </w:r>
            <w:r w:rsidRPr="00DB73B5">
              <w:t>n and engagement strategies are developed and documented for the planning process, and for long-term recovery projects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 xml:space="preserve">Monitoring and evaluation strategies are confirmed with the recovery teams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Research and analyse long-term recovery planning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Context of impacted community, hazard data and hazard impact information about the disaster-affected community is obtained and validated to inform long- term recovery strategies and projects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Stakeholder engagement and communication is undertaken post-disaster impact to inform community-led recovery strategies and projects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3.3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Risk assessment is undertaken to develop risk management processes for each long-term recovery project according</w:t>
            </w:r>
            <w:r w:rsidRPr="00DB73B5">
              <w:t xml:space="preserve"> to jurisdictional arrangements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3.4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 xml:space="preserve">The need of sub-committees to be established is facilitated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4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Develop and document long-term recovery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Rationale for each agreed recovery program and project is documented in long-term recovery plan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Recovery planning incorporates delivery of lasting resilience outcomes as part of recovery activities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Acquisition and application of organisational, human and equipment resources required for long-term recovery programs and projects are identified a</w:t>
            </w:r>
            <w:r w:rsidRPr="00DB73B5">
              <w:t>nd documented in long-term recovery plan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Financial and contractual arrangements for accessing or acquiring long-term resources and services are developed and documented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Eligibility of long-term recover</w:t>
            </w:r>
            <w:r w:rsidRPr="00DB73B5">
              <w:t>y projects and programs are checked against disaster funding arrangements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Clear and concise language, appropriate for entities and target audience, is used in documentation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Long-term draft recovery plan is distributed for review and comment t</w:t>
            </w:r>
            <w:r w:rsidRPr="00DB73B5">
              <w:t xml:space="preserve">o relevant stakeholders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4.8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Long-term recovery plan is submitted for authorisation and funding approval to implement the plan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5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Review long-term recovery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5.1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Effectiveness of long-term recovery plan in meeting disaster-impacted community long-term recovery needs is reviewed on a regular basis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5.2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 xml:space="preserve">Identified unforeseen barriers that may impact on implementation of long-term recovery plan are referred to lead </w:t>
            </w:r>
            <w:r w:rsidRPr="00DB73B5">
              <w:t xml:space="preserve">recovery entity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5.3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Adjustments to long-term recovery plan are analysed and revised, where necessary, to ensure they still meet recovery funding arrangements, and relevant legislative or jurisdictional requirements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5.4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Adjustments to long-term recov</w:t>
            </w:r>
            <w:r w:rsidRPr="00DB73B5">
              <w:t xml:space="preserve">ery plan are documented and communicated to relevant stakeholders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6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Plan for transition from recovery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6.1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Mainstream service delivery to meet ongoing community recovery needs is analysed and confirmed as no longer required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6.2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 xml:space="preserve">Ongoing recovery services are planned, transitioned and incorporated into ongoing planning, preparedness and resilience activities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6.3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Documentation relating to providing long-term recovery support is completed and recorded in accordance with organisat</w:t>
            </w:r>
            <w:r w:rsidRPr="00DB73B5">
              <w:t>ional procedures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6.4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 xml:space="preserve">Acknowledgements are made to all stakeholders involved in long-term recovery planning and implementation 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7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rPr>
                <w:rStyle w:val="SpecialBold"/>
              </w:rPr>
              <w:t>Monitor and evaluate long-term recovery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7.1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Methodology for evaluation and monitoring is developed that targets th</w:t>
            </w:r>
            <w:r w:rsidRPr="00DB73B5">
              <w:t>e assessment of the agreed outcomes, drawing on the established targets and indicators, including establishment of baseline measures.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7.2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Regular monitoring and evaluation are conducted to</w:t>
            </w:r>
            <w:r w:rsidRPr="00DB73B5">
              <w:t xml:space="preserve"> inform any adjustment to ongoing recovery programs based on changing needs, priorities, and outcomes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7.3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t>End of program evaluation is conducted based on approved methodology and plans</w:t>
            </w:r>
          </w:p>
        </w:tc>
      </w:tr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3B5">
            <w:pPr>
              <w:pStyle w:val="BodyText"/>
              <w:rPr>
                <w:lang w:val="en-NZ"/>
              </w:rPr>
            </w:pPr>
            <w:r w:rsidRPr="00DB73B5">
              <w:rPr>
                <w:rStyle w:val="SpecialBold"/>
              </w:rPr>
              <w:t>7.4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Key lessons are identified and communicated to key stakeholde</w:t>
            </w:r>
            <w:r w:rsidRPr="00DB73B5">
              <w:t>rs to embed in design of future actions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7" w:name="O_1239521"/>
      <w:bookmarkEnd w:id="7"/>
      <w:r w:rsidRPr="00DB73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Foundation skills essential to performance are explicit in the performance criteria of this unit of competency.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8" w:name="O_1239522"/>
      <w:bookmarkEnd w:id="8"/>
      <w:r w:rsidRPr="00DB73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Range is restricted to essential operating conditions and any other variables essential to the work environment.</w:t>
            </w:r>
          </w:p>
          <w:p w:rsidR="00000000" w:rsidRPr="00DB73B5" w:rsidP="00DB73B5">
            <w:pPr>
              <w:pStyle w:val="BodyText"/>
            </w:pPr>
            <w:r w:rsidRPr="00DB73B5">
              <w:t>Non-essential conditions may be found in the PUA Public Safety Training Package Companion Volume Implementation Guide.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9" w:name="O_1239523"/>
      <w:bookmarkEnd w:id="9"/>
      <w:r w:rsidRPr="00DB73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73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3B5" w:rsidP="00DB73B5">
            <w:pPr>
              <w:pStyle w:val="BodyText"/>
            </w:pPr>
            <w:r w:rsidRPr="00DB73B5">
              <w:t>This is a new unit. No equivalent unit.</w:t>
            </w:r>
          </w:p>
        </w:tc>
      </w:tr>
    </w:tbl>
    <w:p w:rsidR="00000000" w:rsidRPr="00DB73B5" w:rsidP="00DB73B5">
      <w:pPr>
        <w:pStyle w:val="NoPaddingFontSize1"/>
      </w:pPr>
    </w:p>
    <w:p w:rsidR="00000000" w:rsidRPr="00DB73B5" w:rsidP="00DB73B5">
      <w:pPr>
        <w:pStyle w:val="AllowPageBreak"/>
      </w:pPr>
    </w:p>
    <w:p w:rsidR="00000000" w:rsidRPr="00DB73B5" w:rsidP="00DB73B5">
      <w:pPr>
        <w:pStyle w:val="Heading1"/>
      </w:pPr>
      <w:bookmarkStart w:id="10" w:name="O_1239530"/>
      <w:bookmarkEnd w:id="10"/>
      <w:r w:rsidRPr="00DB73B5">
        <w:t>Links</w:t>
      </w:r>
    </w:p>
    <w:p w:rsidR="00000000" w:rsidRPr="00DB73B5" w:rsidP="00421E52">
      <w:pPr>
        <w:pStyle w:val="BodyText"/>
      </w:pPr>
      <w:r w:rsidRPr="00DB73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77F9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B73B5" w:rsidP="00DB73B5"/>
    <w:sectPr w:rsidSect="00DB73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B5" w:rsidRPr="00421E52" w:rsidP="00421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52" w:rsidP="00DB7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E52" w:rsidP="00DB7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1E52" w:rsidP="00DB7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3B5" w:rsidRPr="00421E52" w:rsidP="00421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52" w:rsidRPr="002D2AF8" w:rsidP="00DB7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PUARCV007 Facilitate long-term recovery planning for a disaster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21E52" w:rsidP="00DB7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3B5"/>
  </w:style>
  <w:style w:type="character" w:customStyle="1" w:styleId="Heading1Char">
    <w:name w:val="Heading 1 Char"/>
    <w:basedOn w:val="DefaultParagraphFont"/>
    <w:link w:val="Heading1"/>
    <w:rsid w:val="00DB7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3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73B5"/>
    <w:rPr>
      <w:b/>
      <w:spacing w:val="0"/>
    </w:rPr>
  </w:style>
  <w:style w:type="paragraph" w:customStyle="1" w:styleId="SuperHeading">
    <w:name w:val="SuperHeading"/>
    <w:basedOn w:val="Normal"/>
    <w:rsid w:val="00DB7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7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3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3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7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3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3B5"/>
    <w:rPr>
      <w:i/>
    </w:rPr>
  </w:style>
  <w:style w:type="paragraph" w:styleId="Caption">
    <w:name w:val="caption"/>
    <w:basedOn w:val="BodyText"/>
    <w:next w:val="Normal"/>
    <w:qFormat/>
    <w:rsid w:val="00DB7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3B5"/>
  </w:style>
  <w:style w:type="paragraph" w:styleId="TableofFigures">
    <w:name w:val="table of figures"/>
    <w:basedOn w:val="Normal"/>
    <w:next w:val="Normal"/>
    <w:semiHidden/>
    <w:rsid w:val="00DB7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3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73B5"/>
    <w:rPr>
      <w:rFonts w:ascii="Wingdings" w:hAnsi="Wingdings"/>
    </w:rPr>
  </w:style>
  <w:style w:type="paragraph" w:customStyle="1" w:styleId="TableHeading">
    <w:name w:val="Table Heading"/>
    <w:basedOn w:val="HeadingBase"/>
    <w:rsid w:val="00DB7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3B5"/>
    <w:rPr>
      <w:color w:val="0033CC"/>
      <w:u w:val="none"/>
    </w:rPr>
  </w:style>
  <w:style w:type="paragraph" w:customStyle="1" w:styleId="BodyTextRight">
    <w:name w:val="Body Text Right"/>
    <w:basedOn w:val="BodyText"/>
    <w:rsid w:val="00DB7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3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3B5"/>
    <w:rPr>
      <w:sz w:val="32"/>
    </w:rPr>
  </w:style>
  <w:style w:type="paragraph" w:customStyle="1" w:styleId="HeadingProcedure">
    <w:name w:val="Heading Procedure"/>
    <w:basedOn w:val="HeadingBase"/>
    <w:next w:val="Normal"/>
    <w:rsid w:val="00DB7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3B5"/>
    <w:pPr>
      <w:spacing w:before="60" w:after="60"/>
    </w:pPr>
  </w:style>
  <w:style w:type="paragraph" w:styleId="ListContinue">
    <w:name w:val="List Continue"/>
    <w:basedOn w:val="List"/>
    <w:rsid w:val="00DB73B5"/>
    <w:pPr>
      <w:ind w:firstLine="0"/>
    </w:pPr>
  </w:style>
  <w:style w:type="paragraph" w:customStyle="1" w:styleId="ListNote">
    <w:name w:val="List Note"/>
    <w:basedOn w:val="List"/>
    <w:rsid w:val="00DB7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3B5"/>
    <w:rPr>
      <w:rFonts w:ascii="Courier New" w:hAnsi="Courier New"/>
    </w:rPr>
  </w:style>
  <w:style w:type="paragraph" w:customStyle="1" w:styleId="NoteBullet">
    <w:name w:val="Note Bullet"/>
    <w:basedOn w:val="Note"/>
    <w:rsid w:val="00DB7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3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7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3B5"/>
    <w:rPr>
      <w:b/>
      <w:smallCaps/>
    </w:rPr>
  </w:style>
  <w:style w:type="paragraph" w:customStyle="1" w:styleId="TableListNumber">
    <w:name w:val="Table List Number"/>
    <w:basedOn w:val="ListNumber"/>
    <w:rsid w:val="00DB7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3B5"/>
    <w:pPr>
      <w:numPr>
        <w:numId w:val="7"/>
      </w:numPr>
    </w:pPr>
  </w:style>
  <w:style w:type="paragraph" w:customStyle="1" w:styleId="ListAlpha2">
    <w:name w:val="List Alpha 2"/>
    <w:basedOn w:val="List2"/>
    <w:rsid w:val="00DB73B5"/>
    <w:pPr>
      <w:numPr>
        <w:numId w:val="6"/>
      </w:numPr>
    </w:pPr>
  </w:style>
  <w:style w:type="paragraph" w:styleId="List2">
    <w:name w:val="List 2"/>
    <w:basedOn w:val="BodyText"/>
    <w:rsid w:val="00DB7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3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3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73B5"/>
    <w:pPr>
      <w:numPr>
        <w:numId w:val="2"/>
      </w:numPr>
    </w:pPr>
  </w:style>
  <w:style w:type="paragraph" w:styleId="ListContinue2">
    <w:name w:val="List Continue 2"/>
    <w:basedOn w:val="List2"/>
    <w:rsid w:val="00DB73B5"/>
    <w:pPr>
      <w:ind w:firstLine="0"/>
    </w:pPr>
  </w:style>
  <w:style w:type="paragraph" w:styleId="ListContinue3">
    <w:name w:val="List Continue 3"/>
    <w:basedOn w:val="List3"/>
    <w:rsid w:val="00DB73B5"/>
    <w:pPr>
      <w:ind w:left="1021" w:firstLine="0"/>
    </w:pPr>
  </w:style>
  <w:style w:type="paragraph" w:styleId="ListContinue4">
    <w:name w:val="List Continue 4"/>
    <w:basedOn w:val="List4"/>
    <w:rsid w:val="00DB73B5"/>
    <w:pPr>
      <w:ind w:firstLine="0"/>
    </w:pPr>
  </w:style>
  <w:style w:type="paragraph" w:styleId="ListContinue5">
    <w:name w:val="List Continue 5"/>
    <w:basedOn w:val="List5"/>
    <w:rsid w:val="00DB73B5"/>
    <w:pPr>
      <w:ind w:firstLine="0"/>
    </w:pPr>
  </w:style>
  <w:style w:type="paragraph" w:styleId="ListNumber3">
    <w:name w:val="List Number 3"/>
    <w:basedOn w:val="List3"/>
    <w:rsid w:val="00DB73B5"/>
    <w:pPr>
      <w:numPr>
        <w:numId w:val="3"/>
      </w:numPr>
    </w:pPr>
  </w:style>
  <w:style w:type="paragraph" w:styleId="ListNumber4">
    <w:name w:val="List Number 4"/>
    <w:basedOn w:val="List4"/>
    <w:rsid w:val="00DB73B5"/>
    <w:pPr>
      <w:numPr>
        <w:numId w:val="4"/>
      </w:numPr>
    </w:pPr>
  </w:style>
  <w:style w:type="paragraph" w:styleId="ListNumber5">
    <w:name w:val="List Number 5"/>
    <w:basedOn w:val="List5"/>
    <w:rsid w:val="00DB73B5"/>
    <w:pPr>
      <w:numPr>
        <w:numId w:val="5"/>
      </w:numPr>
    </w:pPr>
  </w:style>
  <w:style w:type="paragraph" w:styleId="BlockText">
    <w:name w:val="Block Text"/>
    <w:basedOn w:val="Normal"/>
    <w:rsid w:val="00DB7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3B5"/>
    <w:rPr>
      <w:sz w:val="16"/>
      <w:vertAlign w:val="superscript"/>
    </w:rPr>
  </w:style>
  <w:style w:type="character" w:customStyle="1" w:styleId="Symbols">
    <w:name w:val="Symbols"/>
    <w:basedOn w:val="DefaultParagraphFont"/>
    <w:rsid w:val="00DB73B5"/>
    <w:rPr>
      <w:rFonts w:ascii="Symbol" w:hAnsi="Symbol"/>
    </w:rPr>
  </w:style>
  <w:style w:type="character" w:customStyle="1" w:styleId="MenuOptions">
    <w:name w:val="Menu Options"/>
    <w:basedOn w:val="DefaultParagraphFont"/>
    <w:rsid w:val="00DB7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3B5"/>
    <w:rPr>
      <w:b/>
    </w:rPr>
  </w:style>
  <w:style w:type="character" w:customStyle="1" w:styleId="Underlined">
    <w:name w:val="Underlined"/>
    <w:basedOn w:val="DefaultParagraphFont"/>
    <w:rsid w:val="00DB73B5"/>
    <w:rPr>
      <w:u w:val="single"/>
    </w:rPr>
  </w:style>
  <w:style w:type="paragraph" w:customStyle="1" w:styleId="TableBodyTextRight">
    <w:name w:val="Table Body Text Right"/>
    <w:basedOn w:val="TableBodyText"/>
    <w:rsid w:val="00DB7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3B5"/>
    <w:rPr>
      <w:sz w:val="18"/>
    </w:rPr>
  </w:style>
  <w:style w:type="paragraph" w:customStyle="1" w:styleId="BodySmallRight">
    <w:name w:val="Body Small Right"/>
    <w:basedOn w:val="BodyTextRight"/>
    <w:rsid w:val="00DB73B5"/>
    <w:rPr>
      <w:sz w:val="18"/>
      <w:szCs w:val="18"/>
    </w:rPr>
  </w:style>
  <w:style w:type="paragraph" w:customStyle="1" w:styleId="MarginEdition">
    <w:name w:val="Margin Edition"/>
    <w:basedOn w:val="MarginNote"/>
    <w:rsid w:val="00DB7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3B5"/>
    <w:rPr>
      <w:sz w:val="2"/>
      <w:szCs w:val="2"/>
    </w:rPr>
  </w:style>
  <w:style w:type="character" w:customStyle="1" w:styleId="Small">
    <w:name w:val="Small"/>
    <w:basedOn w:val="DefaultParagraphFont"/>
    <w:rsid w:val="00DB73B5"/>
    <w:rPr>
      <w:sz w:val="16"/>
    </w:rPr>
  </w:style>
  <w:style w:type="paragraph" w:customStyle="1" w:styleId="WideTable">
    <w:name w:val="Wide Table"/>
    <w:basedOn w:val="Normal"/>
    <w:rsid w:val="00DB7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3B5"/>
  </w:style>
  <w:style w:type="paragraph" w:styleId="Quote">
    <w:name w:val="Quote"/>
    <w:basedOn w:val="Heading1"/>
    <w:link w:val="QuoteChar"/>
    <w:qFormat/>
    <w:rsid w:val="00DB7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3B5"/>
    <w:pPr>
      <w:pageBreakBefore/>
    </w:pPr>
  </w:style>
  <w:style w:type="paragraph" w:customStyle="1" w:styleId="Border">
    <w:name w:val="Border"/>
    <w:basedOn w:val="Normal"/>
    <w:qFormat/>
    <w:rsid w:val="00DB7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3B5"/>
    <w:rPr>
      <w:u w:val="single"/>
    </w:rPr>
  </w:style>
  <w:style w:type="character" w:customStyle="1" w:styleId="BoldandItalics">
    <w:name w:val="Bold and Italics"/>
    <w:qFormat/>
    <w:rsid w:val="00DB73B5"/>
    <w:rPr>
      <w:b/>
      <w:i/>
      <w:u w:val="none"/>
    </w:rPr>
  </w:style>
  <w:style w:type="paragraph" w:styleId="BalloonText">
    <w:name w:val="Balloon Text"/>
    <w:basedOn w:val="Normal"/>
    <w:link w:val="BalloonTextChar"/>
    <w:rsid w:val="00DB7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3B5"/>
    <w:pPr>
      <w:spacing w:before="0" w:after="0"/>
    </w:pPr>
  </w:style>
  <w:style w:type="paragraph" w:customStyle="1" w:styleId="BodyTextBold">
    <w:name w:val="Body Text Bold"/>
    <w:basedOn w:val="BodyText"/>
    <w:qFormat/>
    <w:rsid w:val="00DB73B5"/>
    <w:rPr>
      <w:b/>
    </w:rPr>
  </w:style>
  <w:style w:type="character" w:styleId="Hyperlink">
    <w:name w:val="Hyperlink"/>
    <w:basedOn w:val="DefaultParagraphFont"/>
    <w:uiPriority w:val="99"/>
    <w:unhideWhenUsed/>
    <w:rsid w:val="00421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6165</Characters>
  <Application>Microsoft Office Word</Application>
  <DocSecurity>0</DocSecurity>
  <Lines>280</Lines>
  <Paragraphs>129</Paragraphs>
  <ScaleCrop>false</ScaleCrop>
  <Company>Author-it Software Corporation Ltd.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PUARCV007 Facilitate long-term recovery planning for a disaster event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