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487" w:rsidP="00456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PUARCV007 Facilitate long-term recovery planning for a disaster event</w:t>
      </w:r>
      <w:r>
        <w:fldChar w:fldCharType="end"/>
      </w:r>
    </w:p>
    <w:p w:rsidR="00456487" w:rsidP="00456487">
      <w:pPr>
        <w:pStyle w:val="Version"/>
        <w:sectPr w:rsidSect="00273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FC0" w:rsidP="00273FC0">
      <w:pPr>
        <w:pStyle w:val="SuperHeading"/>
      </w:pPr>
      <w:r w:rsidRPr="00273FC0">
        <w:t>PUARCV007 Facilitate long-term recovery planning for a disaster event</w:t>
      </w:r>
    </w:p>
    <w:p w:rsidR="00000000" w:rsidRPr="00273FC0" w:rsidP="00273FC0">
      <w:pPr>
        <w:pStyle w:val="Heading1"/>
      </w:pPr>
      <w:bookmarkStart w:id="1" w:name="O_1239515"/>
      <w:bookmarkEnd w:id="1"/>
      <w:r w:rsidRPr="00273F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Release 1. This is the first release of this unit of competency in the PUA Public Safety Training Package.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2" w:name="O_1239516"/>
      <w:bookmarkEnd w:id="2"/>
      <w:r w:rsidRPr="00273F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This unit describes the skills and knowledge required to collaboratively develop long-term recovery planning for a specific disaster event. Such plans focus on the principles of disaster recovery.</w:t>
            </w:r>
          </w:p>
          <w:p w:rsidR="00000000" w:rsidRPr="00273FC0" w:rsidP="00273FC0">
            <w:pPr>
              <w:pStyle w:val="BodyText"/>
            </w:pPr>
            <w:r w:rsidRPr="00273FC0">
              <w:t xml:space="preserve">This unit applies to personnel who are responsible for the </w:t>
            </w:r>
            <w:r w:rsidRPr="00273FC0">
              <w:t>facilitation of long-term recovery planning of a specific disaster event at a local, district or regional level. Long-term recovery planning (as defined by the Australian Disaster Resilience Handbook Collection Community Recovery Handbook 2) is applied acr</w:t>
            </w:r>
            <w:r w:rsidRPr="00273FC0">
              <w:t xml:space="preserve">oss the four recovery sectors, but not exclusive to the social, built, economic and natural environments. </w:t>
            </w:r>
          </w:p>
          <w:p w:rsidR="00000000" w:rsidRPr="00273FC0" w:rsidP="00273FC0">
            <w:pPr>
              <w:pStyle w:val="BodyText"/>
            </w:pPr>
            <w:r w:rsidRPr="00273FC0">
              <w:t>It includes establishing long-term recovery context and framework, developing agreed planning processes and methodology, researching and analysing lo</w:t>
            </w:r>
            <w:r w:rsidRPr="00273FC0">
              <w:t>ng-term recovery planning issues, developing and documenting long-term recovery plan, planning for the transition from long-term recovery and reviewing the long-term recovery plan.</w:t>
            </w:r>
          </w:p>
          <w:p w:rsidR="00000000" w:rsidRPr="00273FC0" w:rsidP="00273FC0">
            <w:pPr>
              <w:pStyle w:val="BodyText"/>
            </w:pPr>
            <w:r w:rsidRPr="00273FC0">
              <w:t>This unit involves considerable engagement, communication and planning with</w:t>
            </w:r>
            <w:r w:rsidRPr="00273FC0">
              <w:t xml:space="preserve"> numerous recovery stakeholders, within a time restricted environment. </w:t>
            </w:r>
          </w:p>
          <w:p w:rsidR="00000000" w:rsidRPr="00273FC0" w:rsidP="00273FC0">
            <w:pPr>
              <w:pStyle w:val="BodyText"/>
            </w:pPr>
            <w:r w:rsidRPr="00273FC0">
              <w:t>No licensing, legislative or certification requirements apply to this unit at the time of publication.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3" w:name="O_1239517"/>
      <w:bookmarkEnd w:id="3"/>
      <w:r w:rsidRPr="00273F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Not applicable.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4" w:name="O_1239518"/>
      <w:bookmarkEnd w:id="4"/>
      <w:r w:rsidRPr="00273FC0">
        <w:t>Comp</w:t>
      </w:r>
      <w:r w:rsidRPr="00273FC0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Recovery.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5" w:name="O_1239519"/>
      <w:bookmarkEnd w:id="5"/>
      <w:r w:rsidRPr="00273F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Not applicable.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6" w:name="O_1239520"/>
      <w:bookmarkEnd w:id="6"/>
      <w:r w:rsidRPr="00273F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PERFORMANCE CRITERIA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Performance criteria describe the performance needed to demonstrate achievement of the element.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Establish long</w:t>
            </w:r>
            <w:r w:rsidRPr="00273FC0">
              <w:t>-</w:t>
            </w:r>
            <w:r w:rsidRPr="00273FC0">
              <w:rPr>
                <w:rStyle w:val="SpecialBold"/>
              </w:rPr>
              <w:t>term recovery context and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Authority to plan is confirmed with reference to legislation, organisational direction, community and</w:t>
            </w:r>
            <w:r w:rsidRPr="00273FC0">
              <w:t>/or managerial agreement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Long-term recovery planning team is established with appropriate balance of expertise, entity representation and authority to plan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Recovery sub-committees are established correctly to assist with planning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Recovery structure is documented and authorisation arrangements for activation are implemented according to jurisdictional arrangements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Develop agreed planning process and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Processes for negotiating outcomes, key performance indicators (</w:t>
            </w:r>
            <w:r w:rsidRPr="00273FC0">
              <w:t>KPIs), information management, reporting, accountability and decision-making strategies are developed, agreed upon and documented accurately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Planning responsibilities and processes are agreed upon and documented fully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Stakeholder communication and engagement strategies are developed and documented for the planning process, and for long-term recovery projects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Monitoring and evaluation strategies are confirmed with the recovery teams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Research and analyse long-t</w:t>
            </w:r>
            <w:r w:rsidRPr="00273FC0">
              <w:rPr>
                <w:rStyle w:val="SpecialBold"/>
              </w:rPr>
              <w:t>erm recovery planning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Context of impacted community, hazard data and hazard impact information about the disaster-affected community is obtained and validated to inform long- term recovery strategies and projects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Stakeholder engagement and communication is undertaken post-disaster impact to inform community-led recovery strategies and projects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Risk assessment is undertaken to develop risk management processes for each long-term recovery project according to </w:t>
            </w:r>
            <w:r w:rsidRPr="00273FC0">
              <w:t>jurisdictional arrangements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The need of sub-committees to be established is facilitated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Develop and document long-term recovery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Rationale for each agreed recovery program and project is documented in long-term recovery plan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Recovery planning incorporates delivery of lasting resilience outcomes as part of recovery activities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Acquisition and application of organisational, human and equipment resources required for long-term recovery programs and projects are identified a</w:t>
            </w:r>
            <w:r w:rsidRPr="00273FC0">
              <w:t>nd documented in long-term recovery plan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Financial and contractual arrangements for accessing or acquiring long-term resources and services are developed and documented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Eligibility of long-term recovery projects and programs are checked against disaster funding arrangements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Clear and concise language, appropriate for entities and target audience, is used in documentation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Long-term draft recovery plan is dist</w:t>
            </w:r>
            <w:r w:rsidRPr="00273FC0">
              <w:t xml:space="preserve">ributed for review and comment to relevant stakeholders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4.8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Long-term recovery plan is submitted for authorisation and funding approval to implement the plan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5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Review long-term recovery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5.1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Effectiveness of long-term recovery plan in meeting disaster-impacted community long-term recovery needs is reviewed on a regular basis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5.2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Identified unforeseen barriers that may impact on implementation of long-term recovery plan are referred to lead </w:t>
            </w:r>
            <w:r w:rsidRPr="00273FC0">
              <w:t xml:space="preserve">recovery entity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5.3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Adjustments to long-term recovery plan are analysed and revised, where necessary, to ensure they still meet recovery funding arrangements, and relevant legislative or jurisdictional requirements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5.4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Adjustments to long-term recov</w:t>
            </w:r>
            <w:r w:rsidRPr="00273FC0">
              <w:t xml:space="preserve">ery plan are documented and communicated to relevant stakeholders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6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Plan for transition from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6.1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Mainstream service delivery to meet ongoing community recovery needs is analysed and confirmed as no longer required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6.2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Ongoing recovery services are planned, transitioned and incorporated into ongoing planning, preparedness and resilience activities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6.3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Documentation relating to providing long-term recovery support is completed and recorded in accordance with organisat</w:t>
            </w:r>
            <w:r w:rsidRPr="00273FC0">
              <w:t>ional procedures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6.4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Acknowledgements are made to all stakeholders involved in long-term recovery planning and implementation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7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rPr>
                <w:rStyle w:val="SpecialBold"/>
              </w:rPr>
              <w:t>Monitor and evaluate long-term recovery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7.1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Methodology for evaluation a</w:t>
            </w:r>
            <w:r w:rsidRPr="00273FC0">
              <w:t>nd monitoring is developed that targets the assessment of the agreed outcomes, drawing on the established targets and indicators, including establishment of baseline measures.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7.2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Regular monitoring and evaluation are conducted to inform any adjustment </w:t>
            </w:r>
            <w:r w:rsidRPr="00273FC0">
              <w:t>to ongoing recovery programs based on changing needs, priorities, and outcomes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7.3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End of program evaluation is conducted based on approved methodology and plans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rPr>
                <w:rStyle w:val="SpecialBold"/>
              </w:rPr>
              <w:t>7.4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Key lessons are identified and communicated to key stakeholders to embed in design o</w:t>
            </w:r>
            <w:r w:rsidRPr="00273FC0">
              <w:t>f future actions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7" w:name="O_1239521"/>
      <w:bookmarkEnd w:id="7"/>
      <w:r w:rsidRPr="00273F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Foundation skills essential to performance are explicit in the performance criteria of this unit of competency.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8" w:name="O_1239522"/>
      <w:bookmarkEnd w:id="8"/>
      <w:r w:rsidRPr="00273F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Range is restricted to essential operating conditions and any other variables essential to the work environment.</w:t>
            </w:r>
          </w:p>
          <w:p w:rsidR="00000000" w:rsidRPr="00273FC0" w:rsidP="00273FC0">
            <w:pPr>
              <w:pStyle w:val="BodyText"/>
            </w:pPr>
            <w:r w:rsidRPr="00273FC0">
              <w:t>Non-essential conditions may be found in the PUA Public Safety Training Package Companion Volume Implementation Guide.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9" w:name="O_1239523"/>
      <w:bookmarkEnd w:id="9"/>
      <w:r w:rsidRPr="00273F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This is a new unit. No equivalent unit.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10" w:name="O_1239530"/>
      <w:bookmarkEnd w:id="10"/>
      <w:r w:rsidRPr="00273FC0">
        <w:t>Links</w:t>
      </w:r>
    </w:p>
    <w:p w:rsidR="00000000" w:rsidRPr="00273FC0" w:rsidP="00456487">
      <w:pPr>
        <w:pStyle w:val="BodyText"/>
      </w:pPr>
      <w:r w:rsidRPr="00273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021A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73FC0" w:rsidP="00456487">
      <w:pPr>
        <w:pStyle w:val="BodyText"/>
        <w:sectPr w:rsidSect="00273F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FC0" w:rsidP="00273FC0">
      <w:pPr>
        <w:pStyle w:val="SuperHeading"/>
      </w:pPr>
      <w:r w:rsidRPr="00273FC0">
        <w:t>Assessment Requirements for PUARCV007 Facilitate long-term recovery planning for a disaster event</w:t>
      </w:r>
    </w:p>
    <w:p w:rsidR="00000000" w:rsidRPr="00273FC0" w:rsidP="00273FC0">
      <w:pPr>
        <w:pStyle w:val="Heading1"/>
      </w:pPr>
      <w:bookmarkStart w:id="11" w:name="O_1239525"/>
      <w:bookmarkEnd w:id="11"/>
      <w:r w:rsidRPr="00273F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Release 1. This is the first release of this unit of competency in the PUA Public Safety Training Package.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12" w:name="O_1239526"/>
      <w:bookmarkEnd w:id="12"/>
      <w:r w:rsidRPr="00273F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>Evidence required to demonstrate competence in this unit must be relevant to and satisfy all of the requir</w:t>
            </w:r>
            <w:r w:rsidRPr="00273FC0">
              <w:t xml:space="preserve">ements of the elements and performance criteria on at least two separate occasions and include: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ListBullet"/>
            </w:pPr>
            <w:r w:rsidRPr="00273FC0">
              <w:t>documenting long-term recovery processes, including:</w:t>
            </w:r>
          </w:p>
          <w:p w:rsidR="00000000" w:rsidRPr="00273FC0" w:rsidP="00273FC0">
            <w:pPr>
              <w:pStyle w:val="ListBullet2"/>
            </w:pPr>
            <w:r w:rsidRPr="00273FC0">
              <w:t>allocating responsibilities in the teams</w:t>
            </w:r>
          </w:p>
          <w:p w:rsidR="00000000" w:rsidRPr="00273FC0" w:rsidP="00273FC0">
            <w:pPr>
              <w:pStyle w:val="ListBullet2"/>
            </w:pPr>
            <w:r w:rsidRPr="00273FC0">
              <w:t>identifying long-term recovery outcomes</w:t>
            </w:r>
          </w:p>
          <w:p w:rsidR="00000000" w:rsidRPr="00273FC0" w:rsidP="00273FC0">
            <w:pPr>
              <w:pStyle w:val="ListBullet2"/>
            </w:pPr>
            <w:r w:rsidRPr="00273FC0">
              <w:t>implementing stakeholder engagement and communications strategies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implementing monitoring and evaluation strategies 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developing an agreed long-term recovery plan and methodology </w:t>
            </w:r>
          </w:p>
          <w:p w:rsidR="00000000" w:rsidRPr="00273FC0" w:rsidP="00273FC0">
            <w:pPr>
              <w:pStyle w:val="ListBullet"/>
            </w:pPr>
            <w:r w:rsidRPr="00273FC0">
              <w:t>documenting the long-term recovery plan, including:</w:t>
            </w:r>
          </w:p>
          <w:p w:rsidR="00000000" w:rsidRPr="00273FC0" w:rsidP="00273FC0">
            <w:pPr>
              <w:pStyle w:val="ListBullet2"/>
            </w:pPr>
            <w:r w:rsidRPr="00273FC0">
              <w:t>confirming funding crit</w:t>
            </w:r>
            <w:r w:rsidRPr="00273FC0">
              <w:t xml:space="preserve">eria for specific forms of recovery assistance 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developing a transition recovery plan 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defining community context of disaster-impacted community </w:t>
            </w:r>
          </w:p>
          <w:p w:rsidR="00000000" w:rsidRPr="00273FC0" w:rsidP="00273FC0">
            <w:pPr>
              <w:pStyle w:val="ListBullet2"/>
            </w:pPr>
            <w:r w:rsidRPr="00273FC0">
              <w:t>engaging and liaising with relevant stakeholders</w:t>
            </w:r>
          </w:p>
          <w:p w:rsidR="00000000" w:rsidRPr="00273FC0" w:rsidP="00273FC0">
            <w:pPr>
              <w:pStyle w:val="ListBullet2"/>
            </w:pPr>
            <w:r w:rsidRPr="00273FC0">
              <w:t>identifying recovery assistance measures to meet needs of dis</w:t>
            </w:r>
            <w:r w:rsidRPr="00273FC0">
              <w:t>aster-impacted community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acquiring and applying organisational, human and equipment resources </w:t>
            </w:r>
          </w:p>
          <w:p w:rsidR="00000000" w:rsidRPr="00273FC0" w:rsidP="00273FC0">
            <w:pPr>
              <w:pStyle w:val="ListBullet"/>
            </w:pPr>
            <w:r w:rsidRPr="00273FC0">
              <w:t>developing a monitoring and evaluation plan for a disaster recovery program</w:t>
            </w:r>
          </w:p>
          <w:p w:rsidR="00000000" w:rsidRPr="00273FC0" w:rsidP="00273FC0">
            <w:pPr>
              <w:pStyle w:val="ListBullet"/>
            </w:pPr>
            <w:r w:rsidRPr="00273FC0">
              <w:t>establishing and documenting a recovery framework, including:</w:t>
            </w:r>
          </w:p>
          <w:p w:rsidR="00000000" w:rsidRPr="00273FC0" w:rsidP="00273FC0">
            <w:pPr>
              <w:pStyle w:val="ListBullet2"/>
            </w:pPr>
            <w:r w:rsidRPr="00273FC0">
              <w:t>gaining the correct authorisations adhering to recovery and jurisdictional arrangements</w:t>
            </w:r>
          </w:p>
          <w:p w:rsidR="00000000" w:rsidRPr="00273FC0" w:rsidP="00273FC0">
            <w:pPr>
              <w:pStyle w:val="ListBullet2"/>
            </w:pPr>
            <w:r w:rsidRPr="00273FC0">
              <w:t xml:space="preserve">establishing recovery teams </w:t>
            </w:r>
          </w:p>
          <w:p w:rsidR="00000000" w:rsidRPr="00273FC0" w:rsidP="00273FC0">
            <w:pPr>
              <w:pStyle w:val="ListBullet2"/>
            </w:pPr>
            <w:r w:rsidRPr="00273FC0">
              <w:t>establishing sub-committees</w:t>
            </w:r>
          </w:p>
          <w:p w:rsidR="00000000" w:rsidRPr="00273FC0" w:rsidP="00273FC0">
            <w:pPr>
              <w:pStyle w:val="ListBullet"/>
            </w:pPr>
            <w:r w:rsidRPr="00273FC0">
              <w:t>researching for long-term recovery, including:</w:t>
            </w:r>
          </w:p>
          <w:p w:rsidR="00000000" w:rsidRPr="00273FC0" w:rsidP="00273FC0">
            <w:pPr>
              <w:pStyle w:val="ListBullet2"/>
            </w:pPr>
            <w:r w:rsidRPr="00273FC0">
              <w:t>assessing recovery needs of disaster-impacted community</w:t>
            </w:r>
          </w:p>
          <w:p w:rsidR="00000000" w:rsidRPr="00273FC0" w:rsidP="00273FC0">
            <w:pPr>
              <w:pStyle w:val="ListBullet2"/>
            </w:pPr>
            <w:r w:rsidRPr="00273FC0">
              <w:t>develo</w:t>
            </w:r>
            <w:r w:rsidRPr="00273FC0">
              <w:t>ping a risk assessment plan.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13" w:name="O_1239527"/>
      <w:bookmarkEnd w:id="13"/>
      <w:r w:rsidRPr="00273F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0">
            <w:pPr>
              <w:pStyle w:val="BodyText"/>
              <w:rPr>
                <w:lang w:val="en-NZ"/>
              </w:rPr>
            </w:pPr>
            <w:r w:rsidRPr="00273FC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ListBullet"/>
            </w:pPr>
            <w:r w:rsidRPr="00273FC0">
              <w:t>built environment recovery sub-committees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community recovery principles, processes and practices 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definitions of disaster response and recovery </w:t>
            </w:r>
          </w:p>
          <w:p w:rsidR="00000000" w:rsidRPr="00273FC0" w:rsidP="00273FC0">
            <w:pPr>
              <w:pStyle w:val="ListBullet"/>
            </w:pPr>
            <w:r w:rsidRPr="00273FC0">
              <w:t>disaster recovery funding arrangements</w:t>
            </w:r>
          </w:p>
          <w:p w:rsidR="00000000" w:rsidRPr="00273FC0" w:rsidP="00273FC0">
            <w:pPr>
              <w:pStyle w:val="ListBullet"/>
            </w:pPr>
            <w:r w:rsidRPr="00273FC0">
              <w:t>disaster welfare services, processes and practices</w:t>
            </w:r>
          </w:p>
          <w:p w:rsidR="00000000" w:rsidRPr="00273FC0" w:rsidP="00273FC0">
            <w:pPr>
              <w:pStyle w:val="ListBullet"/>
            </w:pPr>
            <w:r w:rsidRPr="00273FC0">
              <w:t>dynamic nature of rec</w:t>
            </w:r>
            <w:r w:rsidRPr="00273FC0">
              <w:t>overy</w:t>
            </w:r>
          </w:p>
          <w:p w:rsidR="00000000" w:rsidRPr="00273FC0" w:rsidP="00273FC0">
            <w:pPr>
              <w:pStyle w:val="ListBullet"/>
            </w:pPr>
            <w:r w:rsidRPr="00273FC0">
              <w:t>interconnection across recovery environments</w:t>
            </w:r>
          </w:p>
          <w:p w:rsidR="00000000" w:rsidRPr="00273FC0" w:rsidP="00273FC0">
            <w:pPr>
              <w:pStyle w:val="ListBullet"/>
            </w:pPr>
            <w:r w:rsidRPr="00273FC0">
              <w:t>key recovery stakeholders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lessons management </w:t>
            </w:r>
          </w:p>
          <w:p w:rsidR="00000000" w:rsidRPr="00273FC0" w:rsidP="00273FC0">
            <w:pPr>
              <w:pStyle w:val="ListBullet"/>
            </w:pPr>
            <w:r w:rsidRPr="00273FC0">
              <w:t>monitoring and evaluation framework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national monitoring and evaluation framework for disaster recovery programs 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psychological first aid </w:t>
            </w:r>
          </w:p>
          <w:p w:rsidR="00000000" w:rsidRPr="00273FC0" w:rsidP="00273FC0">
            <w:pPr>
              <w:pStyle w:val="ListBullet"/>
            </w:pPr>
            <w:r w:rsidRPr="00273FC0">
              <w:t>recovery environments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recovery planning </w:t>
            </w:r>
          </w:p>
          <w:p w:rsidR="00000000" w:rsidRPr="00273FC0" w:rsidP="00273FC0">
            <w:pPr>
              <w:pStyle w:val="ListBullet"/>
            </w:pPr>
            <w:r w:rsidRPr="00273FC0">
              <w:t>recovery sub-committees, including social environment recovery sub-committee, economic environment recovery sub-committee, natural environment recovery sub-committee and built environment recovery sub-committee</w:t>
            </w:r>
          </w:p>
          <w:p w:rsidR="00000000" w:rsidRPr="00273FC0" w:rsidP="00273FC0">
            <w:pPr>
              <w:pStyle w:val="ListBullet"/>
            </w:pPr>
            <w:r w:rsidRPr="00273FC0">
              <w:t>services provided in evac</w:t>
            </w:r>
            <w:r w:rsidRPr="00273FC0">
              <w:t>uation, relief or recovery centres and outreach teams</w:t>
            </w:r>
          </w:p>
          <w:p w:rsidR="00000000" w:rsidRPr="00273FC0" w:rsidP="00273FC0">
            <w:pPr>
              <w:pStyle w:val="ListBullet"/>
            </w:pPr>
            <w:r w:rsidRPr="00273FC0">
              <w:t xml:space="preserve">stakeholder engagement strategies </w:t>
            </w:r>
          </w:p>
          <w:p w:rsidR="00000000" w:rsidRPr="00273FC0" w:rsidP="00273FC0">
            <w:pPr>
              <w:pStyle w:val="ListBullet"/>
            </w:pPr>
            <w:r w:rsidRPr="00273FC0">
              <w:t>support services available for disaster-affected person and disaster-affected communities.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14" w:name="O_1239528"/>
      <w:bookmarkEnd w:id="14"/>
      <w:r w:rsidRPr="00273F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0" w:rsidP="00273FC0">
            <w:pPr>
              <w:pStyle w:val="BodyText"/>
            </w:pPr>
            <w:r w:rsidRPr="00273FC0">
              <w:t>Assessors must hold credentials s</w:t>
            </w:r>
            <w:r w:rsidRPr="00273FC0">
              <w:t>pecified within the Standards for Registered Training Organisations current at the time of assessment.</w:t>
            </w:r>
          </w:p>
          <w:p w:rsidR="00000000" w:rsidRPr="00273FC0" w:rsidP="00273FC0">
            <w:pPr>
              <w:pStyle w:val="BodyText"/>
            </w:pPr>
            <w:r w:rsidRPr="00273FC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3FC0" w:rsidP="00273FC0">
            <w:pPr>
              <w:pStyle w:val="BodyText"/>
            </w:pPr>
            <w:r w:rsidRPr="00273FC0">
              <w:t>Assessment must occur in workplace operational</w:t>
            </w:r>
            <w:r w:rsidRPr="00273FC0">
              <w:t xml:space="preserve"> situations. Where this is not appropriate, assessment must occur in simulated workplace operational situations that reflect workplace conditions.</w:t>
            </w:r>
          </w:p>
          <w:p w:rsidR="00000000" w:rsidRPr="00273FC0" w:rsidP="00273FC0">
            <w:pPr>
              <w:pStyle w:val="BodyText"/>
            </w:pPr>
            <w:r w:rsidRPr="00273FC0">
              <w:t>Assessment processes and techniques must be appropriate to the language, literacy and numeracy requirements o</w:t>
            </w:r>
            <w:r w:rsidRPr="00273FC0">
              <w:t>f the work being performed and the needs of the candidate.</w:t>
            </w:r>
          </w:p>
          <w:p w:rsidR="00000000" w:rsidRPr="00273FC0" w:rsidP="00273FC0">
            <w:pPr>
              <w:pStyle w:val="BodyText"/>
            </w:pPr>
            <w:r w:rsidRPr="00273FC0">
              <w:t>Resources for assessment must include access to:</w:t>
            </w:r>
          </w:p>
          <w:p w:rsidR="00000000" w:rsidRPr="00273FC0" w:rsidP="00273FC0">
            <w:pPr>
              <w:pStyle w:val="ListBullet"/>
            </w:pPr>
            <w:r w:rsidRPr="00273FC0">
              <w:t>a range of relevant exercises, case studies and/or simulations</w:t>
            </w:r>
          </w:p>
          <w:p w:rsidR="00000000" w:rsidRPr="00273FC0" w:rsidP="00273FC0">
            <w:pPr>
              <w:pStyle w:val="ListBullet"/>
            </w:pPr>
            <w:r w:rsidRPr="00273FC0">
              <w:t>applicable documentation, including workplace procedures, regulations, codes of prac</w:t>
            </w:r>
            <w:r w:rsidRPr="00273FC0">
              <w:t>tice and operation manuals</w:t>
            </w:r>
          </w:p>
          <w:p w:rsidR="00000000" w:rsidRPr="00273FC0" w:rsidP="00273FC0">
            <w:pPr>
              <w:pStyle w:val="ListBullet"/>
            </w:pPr>
            <w:r w:rsidRPr="00273FC0">
              <w:t>relevant materials, tools, equipment and personal protective equipment (PPE) currently used in industry.</w:t>
            </w:r>
          </w:p>
        </w:tc>
      </w:tr>
    </w:tbl>
    <w:p w:rsidR="00000000" w:rsidRPr="00273FC0" w:rsidP="00273FC0">
      <w:pPr>
        <w:pStyle w:val="NoPaddingFontSize1"/>
      </w:pPr>
    </w:p>
    <w:p w:rsidR="00000000" w:rsidRPr="00273FC0" w:rsidP="00273FC0">
      <w:pPr>
        <w:pStyle w:val="AllowPageBreak"/>
      </w:pPr>
    </w:p>
    <w:p w:rsidR="00000000" w:rsidRPr="00273FC0" w:rsidP="00273FC0">
      <w:pPr>
        <w:pStyle w:val="Heading1"/>
      </w:pPr>
      <w:bookmarkStart w:id="15" w:name="O_1239531"/>
      <w:bookmarkEnd w:id="15"/>
      <w:r w:rsidRPr="00273FC0">
        <w:t>Links</w:t>
      </w:r>
    </w:p>
    <w:p w:rsidR="00000000" w:rsidRPr="00273FC0" w:rsidP="00456487">
      <w:pPr>
        <w:pStyle w:val="BodyText"/>
      </w:pPr>
      <w:r w:rsidRPr="00273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021A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73FC0" w:rsidP="00273FC0"/>
    <w:sectPr w:rsidSect="00273F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 w:rsidRPr="00456487" w:rsidP="00456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87" w:rsidP="00273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6487" w:rsidP="00273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56487" w:rsidP="00273F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 w:rsidP="00273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487">
      <w:t>Approved</w:t>
    </w:r>
    <w:r w:rsidR="004564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4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487">
      <w:rPr>
        <w:noProof/>
      </w:rPr>
      <w:t>5</w:t>
    </w:r>
    <w:r>
      <w:rPr>
        <w:noProof/>
      </w:rPr>
      <w:fldChar w:fldCharType="end"/>
    </w:r>
  </w:p>
  <w:p w:rsidR="00273FC0" w:rsidP="00273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4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487">
      <w:t>Public Skills Australia</w:t>
    </w:r>
    <w:r w:rsidR="00456487">
      <w:fldChar w:fldCharType="end"/>
    </w:r>
  </w:p>
  <w:p w:rsidR="00273FC0" w:rsidP="00273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FC0" w:rsidRPr="00456487" w:rsidP="00456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87" w:rsidRPr="002D2AF8" w:rsidP="00273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PUARCV007 Facilitate long-term recovery planning for a disaster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487" w:rsidP="00273F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0" w:rsidRPr="002D2AF8" w:rsidP="00273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487">
      <w:t>PUARCV007 Facilitate long-term recovery planning for a disaster event</w:t>
    </w:r>
    <w:r w:rsidR="004564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487">
      <w:rPr>
        <w:noProof/>
      </w:rPr>
      <w:t>2 March 2025</w:t>
    </w:r>
    <w:r>
      <w:fldChar w:fldCharType="end"/>
    </w:r>
  </w:p>
  <w:p w:rsidR="00273FC0" w:rsidP="00273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7EE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EE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547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FC0"/>
  </w:style>
  <w:style w:type="character" w:customStyle="1" w:styleId="Heading1Char">
    <w:name w:val="Heading 1 Char"/>
    <w:basedOn w:val="DefaultParagraphFont"/>
    <w:link w:val="Heading1"/>
    <w:rsid w:val="00273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F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FC0"/>
    <w:rPr>
      <w:b/>
      <w:spacing w:val="0"/>
    </w:rPr>
  </w:style>
  <w:style w:type="paragraph" w:styleId="ListBullet2">
    <w:name w:val="List Bullet 2"/>
    <w:basedOn w:val="List2"/>
    <w:rsid w:val="00273F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3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FC0"/>
    <w:rPr>
      <w:i/>
    </w:rPr>
  </w:style>
  <w:style w:type="paragraph" w:styleId="Caption">
    <w:name w:val="caption"/>
    <w:basedOn w:val="BodyText"/>
    <w:next w:val="Normal"/>
    <w:qFormat/>
    <w:rsid w:val="00273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FC0"/>
  </w:style>
  <w:style w:type="paragraph" w:styleId="TableofFigures">
    <w:name w:val="table of figures"/>
    <w:basedOn w:val="Normal"/>
    <w:next w:val="Normal"/>
    <w:semiHidden/>
    <w:rsid w:val="00273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F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FC0"/>
    <w:rPr>
      <w:rFonts w:ascii="Wingdings" w:hAnsi="Wingdings"/>
    </w:rPr>
  </w:style>
  <w:style w:type="paragraph" w:customStyle="1" w:styleId="TableHeading">
    <w:name w:val="Table Heading"/>
    <w:basedOn w:val="HeadingBase"/>
    <w:rsid w:val="00273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FC0"/>
    <w:rPr>
      <w:color w:val="0033CC"/>
      <w:u w:val="none"/>
    </w:rPr>
  </w:style>
  <w:style w:type="paragraph" w:customStyle="1" w:styleId="BodyTextRight">
    <w:name w:val="Body Text Right"/>
    <w:basedOn w:val="BodyText"/>
    <w:rsid w:val="00273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FC0"/>
    <w:rPr>
      <w:sz w:val="32"/>
    </w:rPr>
  </w:style>
  <w:style w:type="paragraph" w:customStyle="1" w:styleId="HeadingProcedure">
    <w:name w:val="Heading Procedure"/>
    <w:basedOn w:val="HeadingBase"/>
    <w:next w:val="Normal"/>
    <w:rsid w:val="00273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FC0"/>
    <w:pPr>
      <w:spacing w:before="60" w:after="60"/>
    </w:pPr>
  </w:style>
  <w:style w:type="paragraph" w:styleId="ListContinue">
    <w:name w:val="List Continue"/>
    <w:basedOn w:val="List"/>
    <w:rsid w:val="00273FC0"/>
    <w:pPr>
      <w:ind w:firstLine="0"/>
    </w:pPr>
  </w:style>
  <w:style w:type="paragraph" w:customStyle="1" w:styleId="ListNote">
    <w:name w:val="List Note"/>
    <w:basedOn w:val="List"/>
    <w:rsid w:val="00273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FC0"/>
    <w:rPr>
      <w:rFonts w:ascii="Courier New" w:hAnsi="Courier New"/>
    </w:rPr>
  </w:style>
  <w:style w:type="paragraph" w:customStyle="1" w:styleId="NoteBullet">
    <w:name w:val="Note Bullet"/>
    <w:basedOn w:val="Note"/>
    <w:rsid w:val="00273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F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FC0"/>
    <w:rPr>
      <w:b/>
      <w:smallCaps/>
    </w:rPr>
  </w:style>
  <w:style w:type="paragraph" w:customStyle="1" w:styleId="TableListNumber">
    <w:name w:val="Table List Number"/>
    <w:basedOn w:val="ListNumber"/>
    <w:rsid w:val="00273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FC0"/>
    <w:pPr>
      <w:numPr>
        <w:numId w:val="9"/>
      </w:numPr>
    </w:pPr>
  </w:style>
  <w:style w:type="paragraph" w:customStyle="1" w:styleId="ListAlpha2">
    <w:name w:val="List Alpha 2"/>
    <w:basedOn w:val="List2"/>
    <w:rsid w:val="00273FC0"/>
    <w:pPr>
      <w:numPr>
        <w:numId w:val="8"/>
      </w:numPr>
    </w:pPr>
  </w:style>
  <w:style w:type="paragraph" w:styleId="List2">
    <w:name w:val="List 2"/>
    <w:basedOn w:val="BodyText"/>
    <w:rsid w:val="00273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F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F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FC0"/>
    <w:pPr>
      <w:numPr>
        <w:numId w:val="4"/>
      </w:numPr>
    </w:pPr>
  </w:style>
  <w:style w:type="paragraph" w:styleId="ListContinue2">
    <w:name w:val="List Continue 2"/>
    <w:basedOn w:val="List2"/>
    <w:rsid w:val="00273FC0"/>
    <w:pPr>
      <w:ind w:firstLine="0"/>
    </w:pPr>
  </w:style>
  <w:style w:type="paragraph" w:styleId="ListContinue3">
    <w:name w:val="List Continue 3"/>
    <w:basedOn w:val="List3"/>
    <w:rsid w:val="00273FC0"/>
    <w:pPr>
      <w:ind w:left="1021" w:firstLine="0"/>
    </w:pPr>
  </w:style>
  <w:style w:type="paragraph" w:styleId="ListContinue4">
    <w:name w:val="List Continue 4"/>
    <w:basedOn w:val="List4"/>
    <w:rsid w:val="00273FC0"/>
    <w:pPr>
      <w:ind w:firstLine="0"/>
    </w:pPr>
  </w:style>
  <w:style w:type="paragraph" w:styleId="ListContinue5">
    <w:name w:val="List Continue 5"/>
    <w:basedOn w:val="List5"/>
    <w:rsid w:val="00273FC0"/>
    <w:pPr>
      <w:ind w:firstLine="0"/>
    </w:pPr>
  </w:style>
  <w:style w:type="paragraph" w:styleId="ListNumber3">
    <w:name w:val="List Number 3"/>
    <w:basedOn w:val="List3"/>
    <w:rsid w:val="00273FC0"/>
    <w:pPr>
      <w:numPr>
        <w:numId w:val="5"/>
      </w:numPr>
    </w:pPr>
  </w:style>
  <w:style w:type="paragraph" w:styleId="ListNumber4">
    <w:name w:val="List Number 4"/>
    <w:basedOn w:val="List4"/>
    <w:rsid w:val="00273FC0"/>
    <w:pPr>
      <w:numPr>
        <w:numId w:val="6"/>
      </w:numPr>
    </w:pPr>
  </w:style>
  <w:style w:type="paragraph" w:styleId="ListNumber5">
    <w:name w:val="List Number 5"/>
    <w:basedOn w:val="List5"/>
    <w:rsid w:val="00273FC0"/>
    <w:pPr>
      <w:numPr>
        <w:numId w:val="7"/>
      </w:numPr>
    </w:pPr>
  </w:style>
  <w:style w:type="paragraph" w:styleId="BlockText">
    <w:name w:val="Block Text"/>
    <w:basedOn w:val="Normal"/>
    <w:rsid w:val="00273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FC0"/>
    <w:rPr>
      <w:sz w:val="16"/>
      <w:vertAlign w:val="superscript"/>
    </w:rPr>
  </w:style>
  <w:style w:type="character" w:customStyle="1" w:styleId="Symbols">
    <w:name w:val="Symbols"/>
    <w:basedOn w:val="DefaultParagraphFont"/>
    <w:rsid w:val="00273FC0"/>
    <w:rPr>
      <w:rFonts w:ascii="Symbol" w:hAnsi="Symbol"/>
    </w:rPr>
  </w:style>
  <w:style w:type="character" w:customStyle="1" w:styleId="MenuOptions">
    <w:name w:val="Menu Options"/>
    <w:basedOn w:val="DefaultParagraphFont"/>
    <w:rsid w:val="00273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FC0"/>
    <w:rPr>
      <w:b/>
    </w:rPr>
  </w:style>
  <w:style w:type="character" w:customStyle="1" w:styleId="Underlined">
    <w:name w:val="Underlined"/>
    <w:basedOn w:val="DefaultParagraphFont"/>
    <w:rsid w:val="00273FC0"/>
    <w:rPr>
      <w:u w:val="single"/>
    </w:rPr>
  </w:style>
  <w:style w:type="paragraph" w:customStyle="1" w:styleId="TableBodyTextRight">
    <w:name w:val="Table Body Text Right"/>
    <w:basedOn w:val="TableBodyText"/>
    <w:rsid w:val="00273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FC0"/>
    <w:rPr>
      <w:sz w:val="18"/>
    </w:rPr>
  </w:style>
  <w:style w:type="paragraph" w:customStyle="1" w:styleId="BodySmallRight">
    <w:name w:val="Body Small Right"/>
    <w:basedOn w:val="BodyTextRight"/>
    <w:rsid w:val="00273FC0"/>
    <w:rPr>
      <w:sz w:val="18"/>
      <w:szCs w:val="18"/>
    </w:rPr>
  </w:style>
  <w:style w:type="paragraph" w:customStyle="1" w:styleId="MarginEdition">
    <w:name w:val="Margin Edition"/>
    <w:basedOn w:val="MarginNote"/>
    <w:rsid w:val="00273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FC0"/>
    <w:rPr>
      <w:sz w:val="2"/>
      <w:szCs w:val="2"/>
    </w:rPr>
  </w:style>
  <w:style w:type="character" w:customStyle="1" w:styleId="Small">
    <w:name w:val="Small"/>
    <w:basedOn w:val="DefaultParagraphFont"/>
    <w:rsid w:val="00273FC0"/>
    <w:rPr>
      <w:sz w:val="16"/>
    </w:rPr>
  </w:style>
  <w:style w:type="paragraph" w:customStyle="1" w:styleId="WideTable">
    <w:name w:val="Wide Table"/>
    <w:basedOn w:val="Normal"/>
    <w:rsid w:val="00273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FC0"/>
  </w:style>
  <w:style w:type="paragraph" w:styleId="Quote">
    <w:name w:val="Quote"/>
    <w:basedOn w:val="Heading1"/>
    <w:link w:val="QuoteChar"/>
    <w:qFormat/>
    <w:rsid w:val="00273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FC0"/>
    <w:pPr>
      <w:pageBreakBefore/>
    </w:pPr>
  </w:style>
  <w:style w:type="paragraph" w:customStyle="1" w:styleId="Border">
    <w:name w:val="Border"/>
    <w:basedOn w:val="Normal"/>
    <w:qFormat/>
    <w:rsid w:val="00273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FC0"/>
    <w:rPr>
      <w:u w:val="single"/>
    </w:rPr>
  </w:style>
  <w:style w:type="character" w:customStyle="1" w:styleId="BoldandItalics">
    <w:name w:val="Bold and Italics"/>
    <w:qFormat/>
    <w:rsid w:val="00273FC0"/>
    <w:rPr>
      <w:b/>
      <w:i/>
      <w:u w:val="none"/>
    </w:rPr>
  </w:style>
  <w:style w:type="paragraph" w:styleId="BalloonText">
    <w:name w:val="Balloon Text"/>
    <w:basedOn w:val="Normal"/>
    <w:link w:val="BalloonTextChar"/>
    <w:rsid w:val="0027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FC0"/>
    <w:pPr>
      <w:spacing w:before="0" w:after="0"/>
    </w:pPr>
  </w:style>
  <w:style w:type="paragraph" w:customStyle="1" w:styleId="BodyTextBold">
    <w:name w:val="Body Text Bold"/>
    <w:basedOn w:val="BodyText"/>
    <w:qFormat/>
    <w:rsid w:val="00273FC0"/>
    <w:rPr>
      <w:b/>
    </w:rPr>
  </w:style>
  <w:style w:type="character" w:styleId="Hyperlink">
    <w:name w:val="Hyperlink"/>
    <w:basedOn w:val="DefaultParagraphFont"/>
    <w:uiPriority w:val="99"/>
    <w:unhideWhenUsed/>
    <w:rsid w:val="00456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1438</Words>
  <Characters>9756</Characters>
  <Application>Microsoft Office Word</Application>
  <DocSecurity>0</DocSecurity>
  <Lines>361</Lines>
  <Paragraphs>196</Paragraphs>
  <ScaleCrop>false</ScaleCrop>
  <Company>Author-it Software Corporation Ltd.</Company>
  <LinksUpToDate>false</LinksUpToDate>
  <CharactersWithSpaces>10998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PUARCV007 Facilitate long-term recovery planning for a disaster event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