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F32" w:rsidP="00735F32">
      <w:pPr>
        <w:pStyle w:val="Title"/>
      </w:pPr>
      <w:r>
        <w:fldChar w:fldCharType="begin"/>
      </w:r>
      <w:r>
        <w:instrText xml:space="preserve"> TITLE   \* MERGEFORMAT </w:instrText>
      </w:r>
      <w:r>
        <w:fldChar w:fldCharType="separate"/>
      </w:r>
      <w:r>
        <w:t>Assessment Requirements for PUARCV007 Facilitate long-term recovery planning for a disaster event</w:t>
      </w:r>
      <w:r>
        <w:fldChar w:fldCharType="end"/>
      </w:r>
    </w:p>
    <w:p w:rsidR="00735F32" w:rsidP="00735F32">
      <w:pPr>
        <w:pStyle w:val="Version"/>
        <w:sectPr w:rsidSect="00EC6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C71" w:rsidP="00EC6C71">
      <w:pPr>
        <w:pStyle w:val="SuperHeading"/>
      </w:pPr>
      <w:r w:rsidRPr="00EC6C71">
        <w:t>Assessment Requirements for PUARCV007 Facilitate long-term recovery planning for a disaster event</w:t>
      </w:r>
    </w:p>
    <w:p w:rsidR="00000000" w:rsidRPr="00EC6C71" w:rsidP="00EC6C71">
      <w:pPr>
        <w:pStyle w:val="Heading1"/>
      </w:pPr>
      <w:bookmarkStart w:id="1" w:name="O_1239525"/>
      <w:bookmarkEnd w:id="1"/>
      <w:r w:rsidRPr="00EC6C71">
        <w:t>Modification History</w:t>
      </w:r>
    </w:p>
    <w:tbl>
      <w:tblPr>
        <w:tblW w:w="9497" w:type="dxa"/>
        <w:tblLayout w:type="fixed"/>
        <w:tblCellMar>
          <w:left w:w="62" w:type="dxa"/>
          <w:right w:w="62" w:type="dxa"/>
        </w:tblCellMar>
        <w:tblLook w:val="0000"/>
      </w:tblPr>
      <w:tblGrid>
        <w:gridCol w:w="9497"/>
      </w:tblGrid>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71" w:rsidP="00EC6C71">
            <w:pPr>
              <w:pStyle w:val="BodyText"/>
            </w:pPr>
            <w:r w:rsidRPr="00EC6C71">
              <w:t>Release 1. This is the first release of this unit of competency in the PUA Public Safety Training Package.</w:t>
            </w:r>
          </w:p>
        </w:tc>
      </w:tr>
    </w:tbl>
    <w:p w:rsidR="00000000" w:rsidRPr="00EC6C71" w:rsidP="00EC6C71">
      <w:pPr>
        <w:pStyle w:val="NoPaddingFontSize1"/>
      </w:pPr>
    </w:p>
    <w:p w:rsidR="00000000" w:rsidRPr="00EC6C71" w:rsidP="00EC6C71">
      <w:pPr>
        <w:pStyle w:val="AllowPageBreak"/>
      </w:pPr>
    </w:p>
    <w:p w:rsidR="00000000" w:rsidRPr="00EC6C71" w:rsidP="00EC6C71">
      <w:pPr>
        <w:pStyle w:val="Heading1"/>
      </w:pPr>
      <w:bookmarkStart w:id="2" w:name="O_1239526"/>
      <w:bookmarkEnd w:id="2"/>
      <w:r w:rsidRPr="00EC6C71">
        <w:t>Performance Evidence</w:t>
      </w:r>
    </w:p>
    <w:tbl>
      <w:tblPr>
        <w:tblW w:w="9497" w:type="dxa"/>
        <w:tblLayout w:type="fixed"/>
        <w:tblCellMar>
          <w:left w:w="62" w:type="dxa"/>
          <w:right w:w="62" w:type="dxa"/>
        </w:tblCellMar>
        <w:tblLook w:val="0000"/>
      </w:tblPr>
      <w:tblGrid>
        <w:gridCol w:w="9497"/>
      </w:tblGrid>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C71">
            <w:pPr>
              <w:pStyle w:val="BodyText"/>
              <w:rPr>
                <w:lang w:val="en-NZ"/>
              </w:rPr>
            </w:pPr>
            <w:r w:rsidRPr="00EC6C71">
              <w:t xml:space="preserve">Evidence required to demonstrate competence in this unit must be relevant to and satisfy all of the requirements of the elements and performance criteria on at least two separate occasions and include: </w:t>
            </w:r>
          </w:p>
        </w:tc>
      </w:tr>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71" w:rsidP="00EC6C71">
            <w:pPr>
              <w:pStyle w:val="ListBullet"/>
            </w:pPr>
            <w:r w:rsidRPr="00EC6C71">
              <w:t>documenting</w:t>
            </w:r>
            <w:r w:rsidRPr="00EC6C71">
              <w:t xml:space="preserve"> long-term recovery processes, including:</w:t>
            </w:r>
          </w:p>
          <w:p w:rsidR="00000000" w:rsidRPr="00EC6C71" w:rsidP="00EC6C71">
            <w:pPr>
              <w:pStyle w:val="ListBullet2"/>
            </w:pPr>
            <w:r w:rsidRPr="00EC6C71">
              <w:t>allocating responsibilities in the teams</w:t>
            </w:r>
          </w:p>
          <w:p w:rsidR="00000000" w:rsidRPr="00EC6C71" w:rsidP="00EC6C71">
            <w:pPr>
              <w:pStyle w:val="ListBullet2"/>
            </w:pPr>
            <w:r w:rsidRPr="00EC6C71">
              <w:t>identifying long-term recovery outcomes</w:t>
            </w:r>
          </w:p>
          <w:p w:rsidR="00000000" w:rsidRPr="00EC6C71" w:rsidP="00EC6C71">
            <w:pPr>
              <w:pStyle w:val="ListBullet2"/>
            </w:pPr>
            <w:r w:rsidRPr="00EC6C71">
              <w:t>implementing stakeholder engagement and communications strategies</w:t>
            </w:r>
          </w:p>
          <w:p w:rsidR="00000000" w:rsidRPr="00EC6C71" w:rsidP="00EC6C71">
            <w:pPr>
              <w:pStyle w:val="ListBullet2"/>
            </w:pPr>
            <w:r w:rsidRPr="00EC6C71">
              <w:t xml:space="preserve">implementing monitoring and evaluation strategies </w:t>
            </w:r>
          </w:p>
          <w:p w:rsidR="00000000" w:rsidRPr="00EC6C71" w:rsidP="00EC6C71">
            <w:pPr>
              <w:pStyle w:val="ListBullet2"/>
            </w:pPr>
            <w:r w:rsidRPr="00EC6C71">
              <w:t xml:space="preserve">developing an agreed long-term recovery plan and methodology </w:t>
            </w:r>
          </w:p>
          <w:p w:rsidR="00000000" w:rsidRPr="00EC6C71" w:rsidP="00EC6C71">
            <w:pPr>
              <w:pStyle w:val="ListBullet"/>
            </w:pPr>
            <w:r w:rsidRPr="00EC6C71">
              <w:t>documenting the long-term recovery plan, including:</w:t>
            </w:r>
          </w:p>
          <w:p w:rsidR="00000000" w:rsidRPr="00EC6C71" w:rsidP="00EC6C71">
            <w:pPr>
              <w:pStyle w:val="ListBullet2"/>
            </w:pPr>
            <w:r w:rsidRPr="00EC6C71">
              <w:t xml:space="preserve">confirming funding criteria for specific forms of recovery assistance </w:t>
            </w:r>
          </w:p>
          <w:p w:rsidR="00000000" w:rsidRPr="00EC6C71" w:rsidP="00EC6C71">
            <w:pPr>
              <w:pStyle w:val="ListBullet2"/>
            </w:pPr>
            <w:r w:rsidRPr="00EC6C71">
              <w:t xml:space="preserve">developing a transition recovery plan </w:t>
            </w:r>
          </w:p>
          <w:p w:rsidR="00000000" w:rsidRPr="00EC6C71" w:rsidP="00EC6C71">
            <w:pPr>
              <w:pStyle w:val="ListBullet2"/>
            </w:pPr>
            <w:r w:rsidRPr="00EC6C71">
              <w:t xml:space="preserve">defining community context of </w:t>
            </w:r>
            <w:r w:rsidRPr="00EC6C71">
              <w:t xml:space="preserve">disaster-impacted community </w:t>
            </w:r>
          </w:p>
          <w:p w:rsidR="00000000" w:rsidRPr="00EC6C71" w:rsidP="00EC6C71">
            <w:pPr>
              <w:pStyle w:val="ListBullet2"/>
            </w:pPr>
            <w:r w:rsidRPr="00EC6C71">
              <w:t>engaging and liaising with relevant stakeholders</w:t>
            </w:r>
          </w:p>
          <w:p w:rsidR="00000000" w:rsidRPr="00EC6C71" w:rsidP="00EC6C71">
            <w:pPr>
              <w:pStyle w:val="ListBullet2"/>
            </w:pPr>
            <w:r w:rsidRPr="00EC6C71">
              <w:t>identifying recovery assistance measures to meet needs of disaster-impacted community</w:t>
            </w:r>
          </w:p>
          <w:p w:rsidR="00000000" w:rsidRPr="00EC6C71" w:rsidP="00EC6C71">
            <w:pPr>
              <w:pStyle w:val="ListBullet2"/>
            </w:pPr>
            <w:r w:rsidRPr="00EC6C71">
              <w:t xml:space="preserve">acquiring and applying organisational, human and equipment resources </w:t>
            </w:r>
          </w:p>
          <w:p w:rsidR="00000000" w:rsidRPr="00EC6C71" w:rsidP="00EC6C71">
            <w:pPr>
              <w:pStyle w:val="ListBullet"/>
            </w:pPr>
            <w:r w:rsidRPr="00EC6C71">
              <w:t>developing a monitori</w:t>
            </w:r>
            <w:r w:rsidRPr="00EC6C71">
              <w:t>ng and evaluation plan for a disaster recovery program</w:t>
            </w:r>
          </w:p>
          <w:p w:rsidR="00000000" w:rsidRPr="00EC6C71" w:rsidP="00EC6C71">
            <w:pPr>
              <w:pStyle w:val="ListBullet"/>
            </w:pPr>
            <w:r w:rsidRPr="00EC6C71">
              <w:t>establishing and documenting a recovery framework, including:</w:t>
            </w:r>
          </w:p>
          <w:p w:rsidR="00000000" w:rsidRPr="00EC6C71" w:rsidP="00EC6C71">
            <w:pPr>
              <w:pStyle w:val="ListBullet2"/>
            </w:pPr>
            <w:r w:rsidRPr="00EC6C71">
              <w:t>gaining the correct authorisations adhering to recovery and jurisdictional arrangements</w:t>
            </w:r>
          </w:p>
          <w:p w:rsidR="00000000" w:rsidRPr="00EC6C71" w:rsidP="00EC6C71">
            <w:pPr>
              <w:pStyle w:val="ListBullet2"/>
            </w:pPr>
            <w:r w:rsidRPr="00EC6C71">
              <w:t xml:space="preserve">establishing recovery teams </w:t>
            </w:r>
          </w:p>
          <w:p w:rsidR="00000000" w:rsidRPr="00EC6C71" w:rsidP="00EC6C71">
            <w:pPr>
              <w:pStyle w:val="ListBullet2"/>
            </w:pPr>
            <w:r w:rsidRPr="00EC6C71">
              <w:t>establishing sub-committees</w:t>
            </w:r>
          </w:p>
          <w:p w:rsidR="00000000" w:rsidRPr="00EC6C71" w:rsidP="00EC6C71">
            <w:pPr>
              <w:pStyle w:val="ListBullet"/>
            </w:pPr>
            <w:r w:rsidRPr="00EC6C71">
              <w:t>researching for long-term recovery, including:</w:t>
            </w:r>
          </w:p>
          <w:p w:rsidR="00000000" w:rsidRPr="00EC6C71" w:rsidP="00EC6C71">
            <w:pPr>
              <w:pStyle w:val="ListBullet2"/>
            </w:pPr>
            <w:r w:rsidRPr="00EC6C71">
              <w:t>assessing recovery needs of disaster-impacted community</w:t>
            </w:r>
          </w:p>
          <w:p w:rsidR="00000000" w:rsidRPr="00EC6C71" w:rsidP="00EC6C71">
            <w:pPr>
              <w:pStyle w:val="ListBullet2"/>
            </w:pPr>
            <w:r w:rsidRPr="00EC6C71">
              <w:t>developing a risk assessment plan.</w:t>
            </w:r>
          </w:p>
        </w:tc>
      </w:tr>
    </w:tbl>
    <w:p w:rsidR="00000000" w:rsidRPr="00EC6C71" w:rsidP="00EC6C71">
      <w:pPr>
        <w:pStyle w:val="NoPaddingFontSize1"/>
      </w:pPr>
    </w:p>
    <w:p w:rsidR="00000000" w:rsidRPr="00EC6C71" w:rsidP="00EC6C71">
      <w:pPr>
        <w:pStyle w:val="AllowPageBreak"/>
      </w:pPr>
    </w:p>
    <w:p w:rsidR="00000000" w:rsidRPr="00EC6C71" w:rsidP="00EC6C71">
      <w:pPr>
        <w:pStyle w:val="Heading1"/>
      </w:pPr>
      <w:bookmarkStart w:id="3" w:name="O_1239527"/>
      <w:bookmarkEnd w:id="3"/>
      <w:r w:rsidRPr="00EC6C71">
        <w:t>Knowledge Evidence</w:t>
      </w:r>
    </w:p>
    <w:tbl>
      <w:tblPr>
        <w:tblW w:w="9497" w:type="dxa"/>
        <w:tblLayout w:type="fixed"/>
        <w:tblCellMar>
          <w:left w:w="62" w:type="dxa"/>
          <w:right w:w="62" w:type="dxa"/>
        </w:tblCellMar>
        <w:tblLook w:val="0000"/>
      </w:tblPr>
      <w:tblGrid>
        <w:gridCol w:w="9497"/>
      </w:tblGrid>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C71">
            <w:pPr>
              <w:pStyle w:val="BodyText"/>
              <w:rPr>
                <w:lang w:val="en-NZ"/>
              </w:rPr>
            </w:pPr>
            <w:r w:rsidRPr="00EC6C71">
              <w:t xml:space="preserve">Evidence required to demonstrate competence in this unit must be relevant to and satisfy all of the requirements of the elements and performance criteria and include knowledge of: </w:t>
            </w:r>
          </w:p>
        </w:tc>
      </w:tr>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71" w:rsidP="00EC6C71">
            <w:pPr>
              <w:pStyle w:val="ListBullet"/>
            </w:pPr>
            <w:r w:rsidRPr="00EC6C71">
              <w:t>built environment recovery sub-committees</w:t>
            </w:r>
          </w:p>
          <w:p w:rsidR="00000000" w:rsidRPr="00EC6C71" w:rsidP="00EC6C71">
            <w:pPr>
              <w:pStyle w:val="ListBullet"/>
            </w:pPr>
            <w:r w:rsidRPr="00EC6C71">
              <w:t xml:space="preserve">community recovery principles, </w:t>
            </w:r>
            <w:r w:rsidRPr="00EC6C71">
              <w:t xml:space="preserve">processes and practices </w:t>
            </w:r>
          </w:p>
          <w:p w:rsidR="00000000" w:rsidRPr="00EC6C71" w:rsidP="00EC6C71">
            <w:pPr>
              <w:pStyle w:val="ListBullet"/>
            </w:pPr>
            <w:r w:rsidRPr="00EC6C71">
              <w:t xml:space="preserve">definitions of disaster response and recovery </w:t>
            </w:r>
          </w:p>
          <w:p w:rsidR="00000000" w:rsidRPr="00EC6C71" w:rsidP="00EC6C71">
            <w:pPr>
              <w:pStyle w:val="ListBullet"/>
            </w:pPr>
            <w:r w:rsidRPr="00EC6C71">
              <w:t>disaster recovery funding arrangements</w:t>
            </w:r>
          </w:p>
          <w:p w:rsidR="00000000" w:rsidRPr="00EC6C71" w:rsidP="00EC6C71">
            <w:pPr>
              <w:pStyle w:val="ListBullet"/>
            </w:pPr>
            <w:r w:rsidRPr="00EC6C71">
              <w:t>disaster welfare services, processes and practices</w:t>
            </w:r>
          </w:p>
          <w:p w:rsidR="00000000" w:rsidRPr="00EC6C71" w:rsidP="00EC6C71">
            <w:pPr>
              <w:pStyle w:val="ListBullet"/>
            </w:pPr>
            <w:r w:rsidRPr="00EC6C71">
              <w:t>dynamic nature of recovery</w:t>
            </w:r>
          </w:p>
          <w:p w:rsidR="00000000" w:rsidRPr="00EC6C71" w:rsidP="00EC6C71">
            <w:pPr>
              <w:pStyle w:val="ListBullet"/>
            </w:pPr>
            <w:r w:rsidRPr="00EC6C71">
              <w:t>interconnection across recovery environments</w:t>
            </w:r>
          </w:p>
          <w:p w:rsidR="00000000" w:rsidRPr="00EC6C71" w:rsidP="00EC6C71">
            <w:pPr>
              <w:pStyle w:val="ListBullet"/>
            </w:pPr>
            <w:r w:rsidRPr="00EC6C71">
              <w:t>key recovery stakehold</w:t>
            </w:r>
            <w:r w:rsidRPr="00EC6C71">
              <w:t>ers</w:t>
            </w:r>
          </w:p>
          <w:p w:rsidR="00000000" w:rsidRPr="00EC6C71" w:rsidP="00EC6C71">
            <w:pPr>
              <w:pStyle w:val="ListBullet"/>
            </w:pPr>
            <w:r w:rsidRPr="00EC6C71">
              <w:t xml:space="preserve">lessons management </w:t>
            </w:r>
          </w:p>
          <w:p w:rsidR="00000000" w:rsidRPr="00EC6C71" w:rsidP="00EC6C71">
            <w:pPr>
              <w:pStyle w:val="ListBullet"/>
            </w:pPr>
            <w:r w:rsidRPr="00EC6C71">
              <w:t>monitoring and evaluation framework</w:t>
            </w:r>
          </w:p>
          <w:p w:rsidR="00000000" w:rsidRPr="00EC6C71" w:rsidP="00EC6C71">
            <w:pPr>
              <w:pStyle w:val="ListBullet"/>
            </w:pPr>
            <w:r w:rsidRPr="00EC6C71">
              <w:t xml:space="preserve">national monitoring and evaluation framework for disaster recovery programs </w:t>
            </w:r>
          </w:p>
          <w:p w:rsidR="00000000" w:rsidRPr="00EC6C71" w:rsidP="00EC6C71">
            <w:pPr>
              <w:pStyle w:val="ListBullet"/>
            </w:pPr>
            <w:r w:rsidRPr="00EC6C71">
              <w:t xml:space="preserve">psychological first aid </w:t>
            </w:r>
          </w:p>
          <w:p w:rsidR="00000000" w:rsidRPr="00EC6C71" w:rsidP="00EC6C71">
            <w:pPr>
              <w:pStyle w:val="ListBullet"/>
            </w:pPr>
            <w:r w:rsidRPr="00EC6C71">
              <w:t>recovery environments</w:t>
            </w:r>
          </w:p>
          <w:p w:rsidR="00000000" w:rsidRPr="00EC6C71" w:rsidP="00EC6C71">
            <w:pPr>
              <w:pStyle w:val="ListBullet"/>
            </w:pPr>
            <w:r w:rsidRPr="00EC6C71">
              <w:t xml:space="preserve">recovery planning </w:t>
            </w:r>
          </w:p>
          <w:p w:rsidR="00000000" w:rsidRPr="00EC6C71" w:rsidP="00EC6C71">
            <w:pPr>
              <w:pStyle w:val="ListBullet"/>
            </w:pPr>
            <w:r w:rsidRPr="00EC6C71">
              <w:t>recovery s</w:t>
            </w:r>
            <w:r w:rsidRPr="00EC6C71">
              <w:t>ub-committees, including social environment recovery sub-committee, economic environment recovery sub-committee, natural environment recovery sub-committee and built environment recovery sub-committee</w:t>
            </w:r>
          </w:p>
          <w:p w:rsidR="00000000" w:rsidRPr="00EC6C71" w:rsidP="00EC6C71">
            <w:pPr>
              <w:pStyle w:val="ListBullet"/>
            </w:pPr>
            <w:r w:rsidRPr="00EC6C71">
              <w:t>services provided in evacuation, relief or recovery cen</w:t>
            </w:r>
            <w:r w:rsidRPr="00EC6C71">
              <w:t>tres and outreach teams</w:t>
            </w:r>
          </w:p>
          <w:p w:rsidR="00000000" w:rsidRPr="00EC6C71" w:rsidP="00EC6C71">
            <w:pPr>
              <w:pStyle w:val="ListBullet"/>
            </w:pPr>
            <w:r w:rsidRPr="00EC6C71">
              <w:t xml:space="preserve">stakeholder engagement strategies </w:t>
            </w:r>
          </w:p>
          <w:p w:rsidR="00000000" w:rsidRPr="00EC6C71" w:rsidP="00EC6C71">
            <w:pPr>
              <w:pStyle w:val="ListBullet"/>
            </w:pPr>
            <w:r w:rsidRPr="00EC6C71">
              <w:t>support services available for disaster-affected person and disaster-affected communities.</w:t>
            </w:r>
          </w:p>
        </w:tc>
      </w:tr>
    </w:tbl>
    <w:p w:rsidR="00000000" w:rsidRPr="00EC6C71" w:rsidP="00EC6C71">
      <w:pPr>
        <w:pStyle w:val="NoPaddingFontSize1"/>
      </w:pPr>
    </w:p>
    <w:p w:rsidR="00000000" w:rsidRPr="00EC6C71" w:rsidP="00EC6C71">
      <w:pPr>
        <w:pStyle w:val="AllowPageBreak"/>
      </w:pPr>
    </w:p>
    <w:p w:rsidR="00000000" w:rsidRPr="00EC6C71" w:rsidP="00EC6C71">
      <w:pPr>
        <w:pStyle w:val="Heading1"/>
      </w:pPr>
      <w:bookmarkStart w:id="4" w:name="O_1239528"/>
      <w:bookmarkEnd w:id="4"/>
      <w:r w:rsidRPr="00EC6C71">
        <w:t>Assessment Conditions</w:t>
      </w:r>
    </w:p>
    <w:tbl>
      <w:tblPr>
        <w:tblW w:w="9497" w:type="dxa"/>
        <w:tblLayout w:type="fixed"/>
        <w:tblCellMar>
          <w:left w:w="62" w:type="dxa"/>
          <w:right w:w="62" w:type="dxa"/>
        </w:tblCellMar>
        <w:tblLook w:val="0000"/>
      </w:tblPr>
      <w:tblGrid>
        <w:gridCol w:w="9497"/>
      </w:tblGrid>
      <w:tr w:rsidTr="00EC6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71" w:rsidP="00EC6C71">
            <w:pPr>
              <w:pStyle w:val="BodyText"/>
            </w:pPr>
            <w:r w:rsidRPr="00EC6C71">
              <w:t xml:space="preserve">Assessors must hold credentials specified within the Standards </w:t>
            </w:r>
            <w:r w:rsidRPr="00EC6C71">
              <w:t>for Registered Training Organisations current at the time of assessment.</w:t>
            </w:r>
          </w:p>
          <w:p w:rsidR="00000000" w:rsidRPr="00EC6C71" w:rsidP="00EC6C71">
            <w:pPr>
              <w:pStyle w:val="BodyText"/>
            </w:pPr>
            <w:r w:rsidRPr="00EC6C71">
              <w:t xml:space="preserve">Assessment must satisfy the Principles of Assessment and Rules of Evidence and all regulatory requirements included within the Standards for Registered Training Organisations current </w:t>
            </w:r>
            <w:r w:rsidRPr="00EC6C71">
              <w:t>at the time of assessment.</w:t>
            </w:r>
          </w:p>
          <w:p w:rsidR="00000000" w:rsidRPr="00EC6C71" w:rsidP="00EC6C71">
            <w:pPr>
              <w:pStyle w:val="BodyText"/>
            </w:pPr>
            <w:r w:rsidRPr="00EC6C71">
              <w:t>Assessment must occur in workplace operational situations. Where this is not appropriate, assessment must occur in simulated workplace operational situations that reflect workplace conditions.</w:t>
            </w:r>
          </w:p>
          <w:p w:rsidR="00000000" w:rsidRPr="00EC6C71" w:rsidP="00EC6C71">
            <w:pPr>
              <w:pStyle w:val="BodyText"/>
            </w:pPr>
            <w:r w:rsidRPr="00EC6C71">
              <w:t xml:space="preserve">Assessment processes and techniques </w:t>
            </w:r>
            <w:r w:rsidRPr="00EC6C71">
              <w:t>must be appropriate to the language, literacy and numeracy requirements of the work being performed and the needs of the candidate.</w:t>
            </w:r>
          </w:p>
          <w:p w:rsidR="00000000" w:rsidRPr="00EC6C71" w:rsidP="00EC6C71">
            <w:pPr>
              <w:pStyle w:val="BodyText"/>
            </w:pPr>
            <w:r w:rsidRPr="00EC6C71">
              <w:t>Resources for assessment must include access to:</w:t>
            </w:r>
          </w:p>
          <w:p w:rsidR="00000000" w:rsidRPr="00EC6C71" w:rsidP="00EC6C71">
            <w:pPr>
              <w:pStyle w:val="ListBullet"/>
            </w:pPr>
            <w:r w:rsidRPr="00EC6C71">
              <w:t>a range of relevant exercises, case studies and/or simulations</w:t>
            </w:r>
          </w:p>
          <w:p w:rsidR="00000000" w:rsidRPr="00EC6C71" w:rsidP="00EC6C71">
            <w:pPr>
              <w:pStyle w:val="ListBullet"/>
            </w:pPr>
            <w:r w:rsidRPr="00EC6C71">
              <w:t>applicable documentation, including workplace procedures, regulations, codes of practice and operation manuals</w:t>
            </w:r>
          </w:p>
          <w:p w:rsidR="00000000" w:rsidRPr="00EC6C71" w:rsidP="00EC6C71">
            <w:pPr>
              <w:pStyle w:val="ListBullet"/>
            </w:pPr>
            <w:r w:rsidRPr="00EC6C71">
              <w:t>relevant materials, tools, equipment and personal protective equipment (PPE) currently used in industry.</w:t>
            </w:r>
          </w:p>
        </w:tc>
      </w:tr>
    </w:tbl>
    <w:p w:rsidR="00000000" w:rsidRPr="00EC6C71" w:rsidP="00EC6C71">
      <w:pPr>
        <w:pStyle w:val="NoPaddingFontSize1"/>
      </w:pPr>
    </w:p>
    <w:p w:rsidR="00000000" w:rsidRPr="00EC6C71" w:rsidP="00EC6C71">
      <w:pPr>
        <w:pStyle w:val="AllowPageBreak"/>
      </w:pPr>
    </w:p>
    <w:p w:rsidR="00000000" w:rsidRPr="00EC6C71" w:rsidP="00EC6C71">
      <w:pPr>
        <w:pStyle w:val="Heading1"/>
      </w:pPr>
      <w:bookmarkStart w:id="5" w:name="O_1239531"/>
      <w:bookmarkEnd w:id="5"/>
      <w:r w:rsidRPr="00EC6C71">
        <w:t>Links</w:t>
      </w:r>
    </w:p>
    <w:p w:rsidR="00000000" w:rsidRPr="00EC6C71" w:rsidP="00735F32">
      <w:pPr>
        <w:pStyle w:val="BodyText"/>
      </w:pPr>
      <w:r w:rsidRPr="00EC6C71">
        <w:t>Companion Vol</w:t>
      </w:r>
      <w:r w:rsidRPr="00EC6C71">
        <w:t xml:space="preserve">ume Implementation Guides are found in VETNet - </w:t>
      </w:r>
      <w:r>
        <w:fldChar w:fldCharType="begin"/>
      </w:r>
      <w:r>
        <w:instrText xml:space="preserve"> HYPERLINK "https://vetnet.gov.au/Pages/TrainingDocs.aspx?q=3eca5672-6d5a-410b-8942-810d0ba05bbf" </w:instrText>
      </w:r>
      <w:r>
        <w:fldChar w:fldCharType="separate"/>
      </w:r>
      <w:r w:rsidRPr="00C6469B">
        <w:rPr>
          <w:rStyle w:val="Hyperlink"/>
        </w:rPr>
        <w:t>https://vetnet.gov.au/Pages/TrainingDocs.aspx?q=3eca5672-6d5a-410b-8942-810d0ba05bbf</w:t>
      </w:r>
      <w:r>
        <w:fldChar w:fldCharType="end"/>
      </w:r>
    </w:p>
    <w:p w:rsidR="00000000" w:rsidRPr="00EC6C71" w:rsidP="00EC6C71"/>
    <w:sectPr w:rsidSect="00EC6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71" w:rsidRPr="00735F32" w:rsidP="00735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32" w:rsidP="00EC6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5F32" w:rsidP="00EC6C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5F32" w:rsidP="00EC6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C71" w:rsidRPr="00735F32" w:rsidP="00735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32" w:rsidRPr="002D2AF8" w:rsidP="00EC6C71">
    <w:pPr>
      <w:pStyle w:val="Header"/>
      <w:framePr w:wrap="around"/>
    </w:pPr>
    <w:r>
      <w:fldChar w:fldCharType="begin"/>
    </w:r>
    <w:r>
      <w:instrText xml:space="preserve"> TITLE   \* MERGEFORMAT </w:instrText>
    </w:r>
    <w:r>
      <w:fldChar w:fldCharType="separate"/>
    </w:r>
    <w:r>
      <w:t>Assessment Requirements for PUARCV007 Facilitate long-term recovery planning for a disaster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35F32" w:rsidP="00EC6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06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6F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A9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C71"/>
    <w:pPr>
      <w:spacing w:before="360" w:after="60"/>
      <w:outlineLvl w:val="0"/>
    </w:pPr>
    <w:rPr>
      <w:sz w:val="32"/>
    </w:rPr>
  </w:style>
  <w:style w:type="paragraph" w:styleId="Heading2">
    <w:name w:val="heading 2"/>
    <w:basedOn w:val="HeadingBase"/>
    <w:next w:val="BodyText"/>
    <w:link w:val="Heading2Char"/>
    <w:qFormat/>
    <w:rsid w:val="00EC6C71"/>
    <w:pPr>
      <w:keepLines/>
      <w:spacing w:before="240" w:after="120"/>
      <w:outlineLvl w:val="1"/>
    </w:pPr>
    <w:rPr>
      <w:sz w:val="28"/>
      <w:szCs w:val="40"/>
    </w:rPr>
  </w:style>
  <w:style w:type="paragraph" w:styleId="Heading3">
    <w:name w:val="heading 3"/>
    <w:basedOn w:val="HeadingBase"/>
    <w:next w:val="BodyText"/>
    <w:link w:val="Heading3Char"/>
    <w:qFormat/>
    <w:rsid w:val="00EC6C71"/>
    <w:pPr>
      <w:spacing w:before="180" w:after="120"/>
      <w:outlineLvl w:val="2"/>
    </w:pPr>
    <w:rPr>
      <w:spacing w:val="-10"/>
      <w:kern w:val="32"/>
    </w:rPr>
  </w:style>
  <w:style w:type="paragraph" w:styleId="Heading4">
    <w:name w:val="heading 4"/>
    <w:basedOn w:val="HeadingBase"/>
    <w:next w:val="BodyText"/>
    <w:link w:val="Heading4Char"/>
    <w:qFormat/>
    <w:rsid w:val="00EC6C71"/>
    <w:pPr>
      <w:spacing w:before="160" w:after="120"/>
      <w:outlineLvl w:val="3"/>
    </w:pPr>
    <w:rPr>
      <w:sz w:val="22"/>
    </w:rPr>
  </w:style>
  <w:style w:type="paragraph" w:styleId="Heading5">
    <w:name w:val="heading 5"/>
    <w:basedOn w:val="HeadingBase"/>
    <w:next w:val="Normal"/>
    <w:link w:val="Heading5Char"/>
    <w:qFormat/>
    <w:rsid w:val="00EC6C71"/>
    <w:pPr>
      <w:spacing w:before="80"/>
      <w:outlineLvl w:val="4"/>
    </w:pPr>
    <w:rPr>
      <w:color w:val="918585"/>
      <w:sz w:val="20"/>
    </w:rPr>
  </w:style>
  <w:style w:type="paragraph" w:styleId="Heading6">
    <w:name w:val="heading 6"/>
    <w:basedOn w:val="HeadingBase"/>
    <w:next w:val="Normal"/>
    <w:link w:val="Heading6Char"/>
    <w:qFormat/>
    <w:rsid w:val="00EC6C71"/>
    <w:pPr>
      <w:spacing w:before="60"/>
      <w:outlineLvl w:val="5"/>
    </w:pPr>
    <w:rPr>
      <w:color w:val="918585"/>
      <w:sz w:val="20"/>
    </w:rPr>
  </w:style>
  <w:style w:type="paragraph" w:styleId="Heading7">
    <w:name w:val="heading 7"/>
    <w:basedOn w:val="Normal"/>
    <w:next w:val="Normal"/>
    <w:link w:val="Heading7Char"/>
    <w:qFormat/>
    <w:rsid w:val="00EC6C71"/>
    <w:pPr>
      <w:ind w:left="720"/>
      <w:outlineLvl w:val="6"/>
    </w:pPr>
    <w:rPr>
      <w:i/>
    </w:rPr>
  </w:style>
  <w:style w:type="paragraph" w:styleId="Heading8">
    <w:name w:val="heading 8"/>
    <w:basedOn w:val="Normal"/>
    <w:next w:val="Normal"/>
    <w:link w:val="Heading8Char"/>
    <w:qFormat/>
    <w:rsid w:val="00EC6C71"/>
    <w:pPr>
      <w:ind w:left="720"/>
      <w:outlineLvl w:val="7"/>
    </w:pPr>
    <w:rPr>
      <w:i/>
    </w:rPr>
  </w:style>
  <w:style w:type="paragraph" w:styleId="Heading9">
    <w:name w:val="heading 9"/>
    <w:basedOn w:val="Normal"/>
    <w:next w:val="Normal"/>
    <w:link w:val="Heading9Char"/>
    <w:qFormat/>
    <w:rsid w:val="00EC6C71"/>
    <w:pPr>
      <w:ind w:left="720"/>
      <w:outlineLvl w:val="8"/>
    </w:pPr>
    <w:rPr>
      <w:i/>
    </w:rPr>
  </w:style>
  <w:style w:type="character" w:default="1" w:styleId="DefaultParagraphFont">
    <w:name w:val="Default Paragraph Font"/>
    <w:uiPriority w:val="1"/>
    <w:unhideWhenUsed/>
    <w:rsid w:val="00EC6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C71"/>
  </w:style>
  <w:style w:type="character" w:customStyle="1" w:styleId="Heading1Char">
    <w:name w:val="Heading 1 Char"/>
    <w:basedOn w:val="DefaultParagraphFont"/>
    <w:link w:val="Heading1"/>
    <w:rsid w:val="00EC6C71"/>
    <w:rPr>
      <w:rFonts w:ascii="Times New Roman" w:eastAsia="Times New Roman" w:hAnsi="Times New Roman" w:cs="Times New Roman"/>
      <w:b/>
      <w:sz w:val="32"/>
      <w:szCs w:val="20"/>
      <w:lang w:eastAsia="en-US"/>
    </w:rPr>
  </w:style>
  <w:style w:type="paragraph" w:styleId="BodyText">
    <w:name w:val="Body Text"/>
    <w:basedOn w:val="Normal"/>
    <w:link w:val="BodyTextChar"/>
    <w:rsid w:val="00EC6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C71"/>
    <w:rPr>
      <w:rFonts w:ascii="Times New Roman" w:eastAsia="Times New Roman" w:hAnsi="Times New Roman" w:cs="Times New Roman"/>
      <w:sz w:val="24"/>
      <w:lang w:eastAsia="en-US"/>
    </w:rPr>
  </w:style>
  <w:style w:type="paragraph" w:styleId="ListBullet">
    <w:name w:val="List Bullet"/>
    <w:basedOn w:val="List"/>
    <w:rsid w:val="00EC6C71"/>
    <w:pPr>
      <w:numPr>
        <w:numId w:val="12"/>
      </w:numPr>
      <w:tabs>
        <w:tab w:val="clear" w:pos="340"/>
      </w:tabs>
      <w:spacing w:before="40" w:after="40"/>
    </w:pPr>
  </w:style>
  <w:style w:type="paragraph" w:styleId="ListBullet2">
    <w:name w:val="List Bullet 2"/>
    <w:basedOn w:val="List2"/>
    <w:rsid w:val="00EC6C71"/>
    <w:pPr>
      <w:numPr>
        <w:numId w:val="13"/>
      </w:numPr>
      <w:tabs>
        <w:tab w:val="clear" w:pos="680"/>
      </w:tabs>
    </w:pPr>
  </w:style>
  <w:style w:type="paragraph" w:customStyle="1" w:styleId="SuperHeading">
    <w:name w:val="SuperHeading"/>
    <w:basedOn w:val="Normal"/>
    <w:rsid w:val="00EC6C71"/>
    <w:pPr>
      <w:spacing w:before="240" w:after="120"/>
      <w:outlineLvl w:val="0"/>
    </w:pPr>
    <w:rPr>
      <w:rFonts w:ascii="Times New Roman" w:hAnsi="Times New Roman"/>
      <w:b/>
      <w:sz w:val="32"/>
    </w:rPr>
  </w:style>
  <w:style w:type="paragraph" w:customStyle="1" w:styleId="AllowPageBreak">
    <w:name w:val="AllowPageBreak"/>
    <w:rsid w:val="00EC6C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6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C71"/>
    <w:rPr>
      <w:rFonts w:ascii="Courier New" w:eastAsia="Times New Roman" w:hAnsi="Courier New" w:cs="Times New Roman"/>
      <w:i/>
      <w:szCs w:val="20"/>
      <w:lang w:eastAsia="en-US"/>
    </w:rPr>
  </w:style>
  <w:style w:type="paragraph" w:customStyle="1" w:styleId="HeadingBase">
    <w:name w:val="Heading Base"/>
    <w:rsid w:val="00EC6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C71"/>
    <w:pPr>
      <w:tabs>
        <w:tab w:val="right" w:leader="dot" w:pos="9072"/>
      </w:tabs>
      <w:ind w:left="567"/>
    </w:pPr>
    <w:rPr>
      <w:szCs w:val="22"/>
    </w:rPr>
  </w:style>
  <w:style w:type="paragraph" w:customStyle="1" w:styleId="TOCBase">
    <w:name w:val="TOC Base"/>
    <w:rsid w:val="00EC6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C71"/>
    <w:pPr>
      <w:tabs>
        <w:tab w:val="right" w:leader="dot" w:pos="9072"/>
      </w:tabs>
      <w:spacing w:before="40" w:after="40"/>
      <w:ind w:left="284"/>
    </w:pPr>
    <w:rPr>
      <w:rFonts w:ascii="Times New Roman" w:hAnsi="Times New Roman"/>
    </w:rPr>
  </w:style>
  <w:style w:type="paragraph" w:styleId="TOC1">
    <w:name w:val="toc 1"/>
    <w:basedOn w:val="TOCBase"/>
    <w:next w:val="Normal"/>
    <w:rsid w:val="00EC6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C71"/>
    <w:rPr>
      <w:rFonts w:ascii="Times New Roman" w:eastAsia="Times New Roman" w:hAnsi="Times New Roman" w:cs="Times New Roman"/>
      <w:sz w:val="16"/>
      <w:lang w:eastAsia="en-US"/>
    </w:rPr>
  </w:style>
  <w:style w:type="paragraph" w:styleId="Title">
    <w:name w:val="Title"/>
    <w:basedOn w:val="HeadingBase"/>
    <w:link w:val="TitleChar"/>
    <w:qFormat/>
    <w:rsid w:val="00EC6C71"/>
    <w:pPr>
      <w:spacing w:before="5040"/>
      <w:jc w:val="center"/>
    </w:pPr>
    <w:rPr>
      <w:sz w:val="48"/>
      <w:szCs w:val="72"/>
      <w:lang w:val="en-US"/>
    </w:rPr>
  </w:style>
  <w:style w:type="character" w:customStyle="1" w:styleId="TitleChar">
    <w:name w:val="Title Char"/>
    <w:basedOn w:val="DefaultParagraphFont"/>
    <w:link w:val="Title"/>
    <w:rsid w:val="00EC6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C71"/>
    <w:pPr>
      <w:tabs>
        <w:tab w:val="left" w:pos="3600"/>
        <w:tab w:val="left" w:pos="3958"/>
      </w:tabs>
    </w:pPr>
  </w:style>
  <w:style w:type="paragraph" w:styleId="List">
    <w:name w:val="List"/>
    <w:basedOn w:val="BodyText"/>
    <w:next w:val="BodyText"/>
    <w:rsid w:val="00EC6C71"/>
    <w:pPr>
      <w:tabs>
        <w:tab w:val="left" w:pos="340"/>
      </w:tabs>
      <w:spacing w:before="60" w:after="60"/>
      <w:ind w:left="340" w:hanging="340"/>
    </w:pPr>
  </w:style>
  <w:style w:type="paragraph" w:customStyle="1" w:styleId="Note">
    <w:name w:val="Note"/>
    <w:basedOn w:val="BodyText"/>
    <w:rsid w:val="00EC6C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C71"/>
    <w:rPr>
      <w:b/>
      <w:spacing w:val="0"/>
    </w:rPr>
  </w:style>
  <w:style w:type="paragraph" w:customStyle="1" w:styleId="SuperTitle">
    <w:name w:val="SuperTitle"/>
    <w:basedOn w:val="Title"/>
    <w:rsid w:val="00EC6C71"/>
    <w:pPr>
      <w:framePr w:wrap="auto" w:hAnchor="text" w:y="6049"/>
    </w:pPr>
    <w:rPr>
      <w:color w:val="000000"/>
      <w:sz w:val="40"/>
    </w:rPr>
  </w:style>
  <w:style w:type="paragraph" w:customStyle="1" w:styleId="TOCTitle">
    <w:name w:val="TOCTitle"/>
    <w:basedOn w:val="Heading1"/>
    <w:rsid w:val="00EC6C71"/>
    <w:pPr>
      <w:spacing w:after="240"/>
      <w:jc w:val="center"/>
      <w:outlineLvl w:val="9"/>
    </w:pPr>
    <w:rPr>
      <w:caps/>
    </w:rPr>
  </w:style>
  <w:style w:type="paragraph" w:customStyle="1" w:styleId="Version">
    <w:name w:val="Version"/>
    <w:rsid w:val="00EC6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C71"/>
    <w:pPr>
      <w:keepNext w:val="0"/>
      <w:tabs>
        <w:tab w:val="right" w:pos="4176"/>
      </w:tabs>
      <w:ind w:left="198" w:hanging="198"/>
    </w:pPr>
    <w:rPr>
      <w:rFonts w:ascii="Garamond" w:hAnsi="Garamond"/>
    </w:rPr>
  </w:style>
  <w:style w:type="paragraph" w:styleId="IndexHeading">
    <w:name w:val="index heading"/>
    <w:basedOn w:val="Normal"/>
    <w:next w:val="Index1"/>
    <w:semiHidden/>
    <w:rsid w:val="00EC6C71"/>
    <w:pPr>
      <w:spacing w:before="120" w:after="120"/>
    </w:pPr>
    <w:rPr>
      <w:rFonts w:ascii="Arial" w:hAnsi="Arial"/>
      <w:b/>
      <w:color w:val="918585"/>
      <w:sz w:val="24"/>
    </w:rPr>
  </w:style>
  <w:style w:type="paragraph" w:styleId="Header">
    <w:name w:val="header"/>
    <w:basedOn w:val="Normal"/>
    <w:link w:val="HeaderChar"/>
    <w:rsid w:val="00EC6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C71"/>
    <w:rPr>
      <w:rFonts w:ascii="Times New Roman" w:eastAsia="Times New Roman" w:hAnsi="Times New Roman" w:cs="Times New Roman"/>
      <w:sz w:val="16"/>
      <w:szCs w:val="20"/>
      <w:lang w:val="en-GB" w:eastAsia="en-US"/>
    </w:rPr>
  </w:style>
  <w:style w:type="paragraph" w:customStyle="1" w:styleId="Chapter">
    <w:name w:val="Chapter"/>
    <w:basedOn w:val="Normal"/>
    <w:rsid w:val="00EC6C71"/>
    <w:pPr>
      <w:spacing w:before="240"/>
    </w:pPr>
    <w:rPr>
      <w:rFonts w:ascii="Times New Roman" w:hAnsi="Times New Roman"/>
      <w:smallCaps/>
      <w:spacing w:val="80"/>
      <w:sz w:val="28"/>
    </w:rPr>
  </w:style>
  <w:style w:type="paragraph" w:customStyle="1" w:styleId="InChapter">
    <w:name w:val="InChapter"/>
    <w:basedOn w:val="Heading3"/>
    <w:rsid w:val="00EC6C71"/>
    <w:pPr>
      <w:spacing w:after="240"/>
      <w:outlineLvl w:val="9"/>
    </w:pPr>
    <w:rPr>
      <w:noProof/>
    </w:rPr>
  </w:style>
  <w:style w:type="paragraph" w:styleId="Index2">
    <w:name w:val="index 2"/>
    <w:basedOn w:val="Normal"/>
    <w:next w:val="Normal"/>
    <w:semiHidden/>
    <w:rsid w:val="00EC6C71"/>
    <w:pPr>
      <w:tabs>
        <w:tab w:val="right" w:pos="4176"/>
      </w:tabs>
      <w:ind w:left="568" w:hanging="284"/>
    </w:pPr>
    <w:rPr>
      <w:rFonts w:ascii="Garamond" w:hAnsi="Garamond"/>
    </w:rPr>
  </w:style>
  <w:style w:type="paragraph" w:customStyle="1" w:styleId="Byline">
    <w:name w:val="Byline"/>
    <w:rsid w:val="00EC6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C71"/>
    <w:pPr>
      <w:tabs>
        <w:tab w:val="clear" w:pos="3600"/>
        <w:tab w:val="clear" w:pos="3958"/>
      </w:tabs>
      <w:jc w:val="right"/>
    </w:pPr>
  </w:style>
  <w:style w:type="character" w:styleId="Emphasis">
    <w:name w:val="Emphasis"/>
    <w:basedOn w:val="DefaultParagraphFont"/>
    <w:qFormat/>
    <w:rsid w:val="00EC6C71"/>
    <w:rPr>
      <w:i/>
    </w:rPr>
  </w:style>
  <w:style w:type="paragraph" w:styleId="Caption">
    <w:name w:val="caption"/>
    <w:basedOn w:val="BodyText"/>
    <w:next w:val="Normal"/>
    <w:qFormat/>
    <w:rsid w:val="00EC6C71"/>
    <w:pPr>
      <w:framePr w:w="2268" w:hSpace="181" w:vSpace="181" w:wrap="around" w:vAnchor="text" w:hAnchor="page" w:x="1135" w:y="285" w:anchorLock="1"/>
    </w:pPr>
    <w:rPr>
      <w:i/>
    </w:rPr>
  </w:style>
  <w:style w:type="paragraph" w:customStyle="1" w:styleId="MiniTOCTitle">
    <w:name w:val="MiniTOCTitle"/>
    <w:basedOn w:val="Heading4"/>
    <w:rsid w:val="00EC6C71"/>
    <w:pPr>
      <w:spacing w:before="240"/>
      <w:outlineLvl w:val="9"/>
    </w:pPr>
    <w:rPr>
      <w:noProof/>
      <w:sz w:val="24"/>
    </w:rPr>
  </w:style>
  <w:style w:type="paragraph" w:customStyle="1" w:styleId="MiniTOCItem">
    <w:name w:val="MiniTOCItem"/>
    <w:basedOn w:val="ListBullet"/>
    <w:rsid w:val="00EC6C71"/>
    <w:pPr>
      <w:numPr>
        <w:numId w:val="0"/>
      </w:numPr>
      <w:tabs>
        <w:tab w:val="right" w:leader="dot" w:pos="6521"/>
      </w:tabs>
      <w:spacing w:before="0" w:after="0"/>
    </w:pPr>
  </w:style>
  <w:style w:type="paragraph" w:customStyle="1" w:styleId="TOFTitle">
    <w:name w:val="TOFTitle"/>
    <w:basedOn w:val="TOCTitle"/>
    <w:rsid w:val="00EC6C71"/>
  </w:style>
  <w:style w:type="paragraph" w:styleId="TableofFigures">
    <w:name w:val="table of figures"/>
    <w:basedOn w:val="Normal"/>
    <w:next w:val="Normal"/>
    <w:semiHidden/>
    <w:rsid w:val="00EC6C71"/>
    <w:pPr>
      <w:tabs>
        <w:tab w:val="right" w:leader="dot" w:pos="9072"/>
      </w:tabs>
      <w:ind w:left="970" w:hanging="403"/>
    </w:pPr>
    <w:rPr>
      <w:rFonts w:ascii="Times New Roman" w:hAnsi="Times New Roman"/>
      <w:b/>
    </w:rPr>
  </w:style>
  <w:style w:type="paragraph" w:styleId="ListNumber">
    <w:name w:val="List Number"/>
    <w:basedOn w:val="List"/>
    <w:rsid w:val="00EC6C71"/>
    <w:pPr>
      <w:numPr>
        <w:numId w:val="15"/>
      </w:numPr>
      <w:tabs>
        <w:tab w:val="clear" w:pos="340"/>
      </w:tabs>
    </w:pPr>
  </w:style>
  <w:style w:type="character" w:customStyle="1" w:styleId="WingdingSymbols">
    <w:name w:val="Wingding Symbols"/>
    <w:rsid w:val="00EC6C71"/>
    <w:rPr>
      <w:rFonts w:ascii="Wingdings" w:hAnsi="Wingdings"/>
    </w:rPr>
  </w:style>
  <w:style w:type="paragraph" w:customStyle="1" w:styleId="TableHeading">
    <w:name w:val="Table Heading"/>
    <w:basedOn w:val="HeadingBase"/>
    <w:rsid w:val="00EC6C71"/>
    <w:pPr>
      <w:keepLines/>
      <w:pBdr>
        <w:bottom w:val="single" w:sz="6" w:space="1" w:color="918585"/>
      </w:pBdr>
      <w:spacing w:before="240"/>
    </w:pPr>
  </w:style>
  <w:style w:type="character" w:customStyle="1" w:styleId="HotSpot">
    <w:name w:val="HotSpot"/>
    <w:rsid w:val="00EC6C71"/>
    <w:rPr>
      <w:color w:val="0033CC"/>
      <w:u w:val="none"/>
    </w:rPr>
  </w:style>
  <w:style w:type="paragraph" w:customStyle="1" w:styleId="BodyTextRight">
    <w:name w:val="Body Text Right"/>
    <w:basedOn w:val="BodyText"/>
    <w:rsid w:val="00EC6C71"/>
    <w:pPr>
      <w:spacing w:before="0" w:after="0"/>
      <w:jc w:val="right"/>
    </w:pPr>
  </w:style>
  <w:style w:type="paragraph" w:styleId="Index3">
    <w:name w:val="index 3"/>
    <w:basedOn w:val="ListNumber2"/>
    <w:next w:val="Normal"/>
    <w:semiHidden/>
    <w:rsid w:val="00EC6C71"/>
    <w:pPr>
      <w:numPr>
        <w:numId w:val="0"/>
      </w:numPr>
      <w:tabs>
        <w:tab w:val="right" w:leader="dot" w:pos="4176"/>
      </w:tabs>
    </w:pPr>
  </w:style>
  <w:style w:type="paragraph" w:styleId="ListNumber2">
    <w:name w:val="List Number 2"/>
    <w:basedOn w:val="List2"/>
    <w:rsid w:val="00EC6C71"/>
    <w:pPr>
      <w:numPr>
        <w:numId w:val="10"/>
      </w:numPr>
      <w:tabs>
        <w:tab w:val="clear" w:pos="1060"/>
      </w:tabs>
    </w:pPr>
  </w:style>
  <w:style w:type="paragraph" w:customStyle="1" w:styleId="MarginNote">
    <w:name w:val="Margin Note"/>
    <w:basedOn w:val="BodyText"/>
    <w:rsid w:val="00EC6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C71"/>
    <w:rPr>
      <w:sz w:val="32"/>
    </w:rPr>
  </w:style>
  <w:style w:type="paragraph" w:customStyle="1" w:styleId="HeadingProcedure">
    <w:name w:val="Heading Procedure"/>
    <w:basedOn w:val="HeadingBase"/>
    <w:next w:val="Normal"/>
    <w:rsid w:val="00EC6C71"/>
    <w:pPr>
      <w:tabs>
        <w:tab w:val="left" w:pos="0"/>
      </w:tabs>
      <w:spacing w:before="120" w:after="60"/>
    </w:pPr>
    <w:rPr>
      <w:i/>
      <w:color w:val="918585"/>
      <w:sz w:val="22"/>
    </w:rPr>
  </w:style>
  <w:style w:type="paragraph" w:customStyle="1" w:styleId="TableBodyText">
    <w:name w:val="Table Body Text"/>
    <w:basedOn w:val="BodyText"/>
    <w:rsid w:val="00EC6C71"/>
    <w:pPr>
      <w:spacing w:before="60" w:after="60"/>
    </w:pPr>
  </w:style>
  <w:style w:type="paragraph" w:styleId="ListContinue">
    <w:name w:val="List Continue"/>
    <w:basedOn w:val="List"/>
    <w:rsid w:val="00EC6C71"/>
    <w:pPr>
      <w:ind w:firstLine="0"/>
    </w:pPr>
  </w:style>
  <w:style w:type="paragraph" w:customStyle="1" w:styleId="ListNote">
    <w:name w:val="List Note"/>
    <w:basedOn w:val="List"/>
    <w:rsid w:val="00EC6C71"/>
    <w:pPr>
      <w:pBdr>
        <w:top w:val="single" w:sz="6" w:space="2" w:color="918585"/>
        <w:bottom w:val="single" w:sz="6" w:space="2" w:color="918585"/>
      </w:pBdr>
      <w:tabs>
        <w:tab w:val="left" w:pos="1021"/>
      </w:tabs>
      <w:ind w:firstLine="0"/>
    </w:pPr>
  </w:style>
  <w:style w:type="paragraph" w:customStyle="1" w:styleId="Warning">
    <w:name w:val="Warning"/>
    <w:basedOn w:val="BodyText"/>
    <w:rsid w:val="00EC6C71"/>
    <w:pPr>
      <w:shd w:val="clear" w:color="auto" w:fill="D9D9D9"/>
      <w:tabs>
        <w:tab w:val="left" w:pos="992"/>
      </w:tabs>
      <w:ind w:left="119" w:right="119"/>
    </w:pPr>
    <w:rPr>
      <w:sz w:val="20"/>
    </w:rPr>
  </w:style>
  <w:style w:type="paragraph" w:customStyle="1" w:styleId="MarginIcons">
    <w:name w:val="Margin Icons"/>
    <w:basedOn w:val="BodyText"/>
    <w:rsid w:val="00EC6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C71"/>
    <w:rPr>
      <w:rFonts w:ascii="Courier New" w:hAnsi="Courier New"/>
    </w:rPr>
  </w:style>
  <w:style w:type="paragraph" w:customStyle="1" w:styleId="NoteBullet">
    <w:name w:val="Note Bullet"/>
    <w:basedOn w:val="Note"/>
    <w:rsid w:val="00EC6C71"/>
    <w:pPr>
      <w:tabs>
        <w:tab w:val="clear" w:pos="680"/>
      </w:tabs>
      <w:spacing w:before="60" w:after="60"/>
    </w:pPr>
  </w:style>
  <w:style w:type="paragraph" w:customStyle="1" w:styleId="SubHeading2">
    <w:name w:val="SubHeading2"/>
    <w:basedOn w:val="HeadingBase"/>
    <w:rsid w:val="00EC6C71"/>
    <w:pPr>
      <w:spacing w:before="240" w:after="60"/>
    </w:pPr>
    <w:rPr>
      <w:sz w:val="20"/>
    </w:rPr>
  </w:style>
  <w:style w:type="paragraph" w:customStyle="1" w:styleId="SubHeading1">
    <w:name w:val="SubHeading1"/>
    <w:basedOn w:val="HeadingBase"/>
    <w:rsid w:val="00EC6C71"/>
    <w:pPr>
      <w:spacing w:before="240" w:after="60"/>
    </w:pPr>
    <w:rPr>
      <w:color w:val="918585"/>
      <w:sz w:val="22"/>
    </w:rPr>
  </w:style>
  <w:style w:type="paragraph" w:customStyle="1" w:styleId="SideHeading">
    <w:name w:val="Side Heading"/>
    <w:basedOn w:val="HeadingBase"/>
    <w:rsid w:val="00EC6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C71"/>
    <w:pPr>
      <w:tabs>
        <w:tab w:val="num" w:pos="360"/>
      </w:tabs>
    </w:pPr>
  </w:style>
  <w:style w:type="paragraph" w:styleId="PlainText">
    <w:name w:val="Plain Text"/>
    <w:basedOn w:val="Normal"/>
    <w:link w:val="PlainTextChar"/>
    <w:rsid w:val="00EC6C71"/>
    <w:rPr>
      <w:sz w:val="20"/>
    </w:rPr>
  </w:style>
  <w:style w:type="character" w:customStyle="1" w:styleId="PlainTextChar">
    <w:name w:val="Plain Text Char"/>
    <w:basedOn w:val="DefaultParagraphFont"/>
    <w:link w:val="PlainText"/>
    <w:rsid w:val="00EC6C71"/>
    <w:rPr>
      <w:rFonts w:ascii="Courier New" w:eastAsia="Times New Roman" w:hAnsi="Courier New" w:cs="Times New Roman"/>
      <w:sz w:val="20"/>
      <w:szCs w:val="20"/>
      <w:lang w:eastAsia="en-US"/>
    </w:rPr>
  </w:style>
  <w:style w:type="character" w:customStyle="1" w:styleId="MenuOption">
    <w:name w:val="Menu Option"/>
    <w:basedOn w:val="DefaultParagraphFont"/>
    <w:rsid w:val="00EC6C71"/>
    <w:rPr>
      <w:b/>
      <w:smallCaps/>
    </w:rPr>
  </w:style>
  <w:style w:type="paragraph" w:customStyle="1" w:styleId="TableListNumber">
    <w:name w:val="Table List Number"/>
    <w:basedOn w:val="ListNumber"/>
    <w:rsid w:val="00EC6C71"/>
    <w:pPr>
      <w:numPr>
        <w:numId w:val="0"/>
      </w:numPr>
    </w:pPr>
  </w:style>
  <w:style w:type="paragraph" w:styleId="TOC4">
    <w:name w:val="toc 4"/>
    <w:basedOn w:val="TOCBase"/>
    <w:next w:val="Normal"/>
    <w:semiHidden/>
    <w:rsid w:val="00EC6C71"/>
    <w:pPr>
      <w:tabs>
        <w:tab w:val="right" w:leader="dot" w:pos="9071"/>
      </w:tabs>
      <w:ind w:left="1701"/>
    </w:pPr>
  </w:style>
  <w:style w:type="paragraph" w:customStyle="1" w:styleId="ListAlpha">
    <w:name w:val="List Alpha"/>
    <w:basedOn w:val="List"/>
    <w:rsid w:val="00EC6C71"/>
    <w:pPr>
      <w:numPr>
        <w:numId w:val="9"/>
      </w:numPr>
    </w:pPr>
  </w:style>
  <w:style w:type="paragraph" w:customStyle="1" w:styleId="ListAlpha2">
    <w:name w:val="List Alpha 2"/>
    <w:basedOn w:val="List2"/>
    <w:rsid w:val="00EC6C71"/>
    <w:pPr>
      <w:numPr>
        <w:numId w:val="8"/>
      </w:numPr>
    </w:pPr>
  </w:style>
  <w:style w:type="paragraph" w:styleId="List2">
    <w:name w:val="List 2"/>
    <w:basedOn w:val="BodyText"/>
    <w:rsid w:val="00EC6C71"/>
    <w:pPr>
      <w:tabs>
        <w:tab w:val="left" w:pos="680"/>
      </w:tabs>
      <w:spacing w:before="60" w:after="60"/>
      <w:ind w:left="680" w:hanging="340"/>
    </w:pPr>
  </w:style>
  <w:style w:type="paragraph" w:styleId="List3">
    <w:name w:val="List 3"/>
    <w:basedOn w:val="BodyText"/>
    <w:rsid w:val="00EC6C71"/>
    <w:pPr>
      <w:tabs>
        <w:tab w:val="left" w:pos="1021"/>
      </w:tabs>
      <w:spacing w:before="60" w:after="60"/>
      <w:ind w:left="1020" w:hanging="340"/>
    </w:pPr>
  </w:style>
  <w:style w:type="paragraph" w:styleId="List4">
    <w:name w:val="List 4"/>
    <w:basedOn w:val="BodyText"/>
    <w:rsid w:val="00EC6C71"/>
    <w:pPr>
      <w:tabs>
        <w:tab w:val="left" w:pos="1361"/>
      </w:tabs>
      <w:spacing w:before="60" w:after="60"/>
      <w:ind w:left="1361" w:hanging="340"/>
    </w:pPr>
  </w:style>
  <w:style w:type="paragraph" w:styleId="List5">
    <w:name w:val="List 5"/>
    <w:basedOn w:val="BodyText"/>
    <w:rsid w:val="00EC6C71"/>
    <w:pPr>
      <w:tabs>
        <w:tab w:val="left" w:pos="1701"/>
      </w:tabs>
      <w:spacing w:before="60" w:after="60"/>
      <w:ind w:left="1701" w:hanging="340"/>
    </w:pPr>
  </w:style>
  <w:style w:type="paragraph" w:styleId="ListBullet3">
    <w:name w:val="List Bullet 3"/>
    <w:basedOn w:val="List3"/>
    <w:rsid w:val="00EC6C71"/>
    <w:pPr>
      <w:numPr>
        <w:numId w:val="14"/>
      </w:numPr>
      <w:tabs>
        <w:tab w:val="clear" w:pos="1021"/>
      </w:tabs>
      <w:ind w:left="1037" w:hanging="357"/>
    </w:pPr>
  </w:style>
  <w:style w:type="paragraph" w:styleId="ListBullet4">
    <w:name w:val="List Bullet 4"/>
    <w:basedOn w:val="List4"/>
    <w:rsid w:val="00EC6C71"/>
    <w:pPr>
      <w:numPr>
        <w:numId w:val="3"/>
      </w:numPr>
      <w:tabs>
        <w:tab w:val="clear" w:pos="1361"/>
      </w:tabs>
    </w:pPr>
  </w:style>
  <w:style w:type="paragraph" w:styleId="ListBullet5">
    <w:name w:val="List Bullet 5"/>
    <w:basedOn w:val="List5"/>
    <w:rsid w:val="00EC6C71"/>
    <w:pPr>
      <w:numPr>
        <w:numId w:val="4"/>
      </w:numPr>
    </w:pPr>
  </w:style>
  <w:style w:type="paragraph" w:styleId="ListContinue2">
    <w:name w:val="List Continue 2"/>
    <w:basedOn w:val="List2"/>
    <w:rsid w:val="00EC6C71"/>
    <w:pPr>
      <w:ind w:firstLine="0"/>
    </w:pPr>
  </w:style>
  <w:style w:type="paragraph" w:styleId="ListContinue3">
    <w:name w:val="List Continue 3"/>
    <w:basedOn w:val="List3"/>
    <w:rsid w:val="00EC6C71"/>
    <w:pPr>
      <w:ind w:left="1021" w:firstLine="0"/>
    </w:pPr>
  </w:style>
  <w:style w:type="paragraph" w:styleId="ListContinue4">
    <w:name w:val="List Continue 4"/>
    <w:basedOn w:val="List4"/>
    <w:rsid w:val="00EC6C71"/>
    <w:pPr>
      <w:ind w:firstLine="0"/>
    </w:pPr>
  </w:style>
  <w:style w:type="paragraph" w:styleId="ListContinue5">
    <w:name w:val="List Continue 5"/>
    <w:basedOn w:val="List5"/>
    <w:rsid w:val="00EC6C71"/>
    <w:pPr>
      <w:ind w:firstLine="0"/>
    </w:pPr>
  </w:style>
  <w:style w:type="paragraph" w:styleId="ListNumber3">
    <w:name w:val="List Number 3"/>
    <w:basedOn w:val="List3"/>
    <w:rsid w:val="00EC6C71"/>
    <w:pPr>
      <w:numPr>
        <w:numId w:val="5"/>
      </w:numPr>
    </w:pPr>
  </w:style>
  <w:style w:type="paragraph" w:styleId="ListNumber4">
    <w:name w:val="List Number 4"/>
    <w:basedOn w:val="List4"/>
    <w:rsid w:val="00EC6C71"/>
    <w:pPr>
      <w:numPr>
        <w:numId w:val="6"/>
      </w:numPr>
    </w:pPr>
  </w:style>
  <w:style w:type="paragraph" w:styleId="ListNumber5">
    <w:name w:val="List Number 5"/>
    <w:basedOn w:val="List5"/>
    <w:rsid w:val="00EC6C71"/>
    <w:pPr>
      <w:numPr>
        <w:numId w:val="7"/>
      </w:numPr>
    </w:pPr>
  </w:style>
  <w:style w:type="paragraph" w:styleId="BlockText">
    <w:name w:val="Block Text"/>
    <w:basedOn w:val="Normal"/>
    <w:rsid w:val="00EC6C71"/>
    <w:pPr>
      <w:spacing w:after="120"/>
      <w:ind w:left="1440" w:right="1440"/>
    </w:pPr>
  </w:style>
  <w:style w:type="character" w:customStyle="1" w:styleId="Subscript">
    <w:name w:val="Subscript"/>
    <w:basedOn w:val="DefaultParagraphFont"/>
    <w:rsid w:val="00EC6C71"/>
    <w:rPr>
      <w:sz w:val="16"/>
      <w:vertAlign w:val="subscript"/>
    </w:rPr>
  </w:style>
  <w:style w:type="character" w:customStyle="1" w:styleId="Superscript">
    <w:name w:val="Superscript"/>
    <w:basedOn w:val="DefaultParagraphFont"/>
    <w:rsid w:val="00EC6C71"/>
    <w:rPr>
      <w:sz w:val="16"/>
      <w:vertAlign w:val="superscript"/>
    </w:rPr>
  </w:style>
  <w:style w:type="character" w:customStyle="1" w:styleId="Symbols">
    <w:name w:val="Symbols"/>
    <w:basedOn w:val="DefaultParagraphFont"/>
    <w:rsid w:val="00EC6C71"/>
    <w:rPr>
      <w:rFonts w:ascii="Symbol" w:hAnsi="Symbol"/>
    </w:rPr>
  </w:style>
  <w:style w:type="character" w:customStyle="1" w:styleId="MenuOptions">
    <w:name w:val="Menu Options"/>
    <w:basedOn w:val="DefaultParagraphFont"/>
    <w:rsid w:val="00EC6C71"/>
    <w:rPr>
      <w:rFonts w:ascii="Arial Narrow" w:hAnsi="Arial Narrow"/>
      <w:smallCaps/>
    </w:rPr>
  </w:style>
  <w:style w:type="character" w:customStyle="1" w:styleId="Buttons">
    <w:name w:val="Buttons"/>
    <w:basedOn w:val="DefaultParagraphFont"/>
    <w:rsid w:val="00EC6C71"/>
    <w:rPr>
      <w:b/>
    </w:rPr>
  </w:style>
  <w:style w:type="character" w:customStyle="1" w:styleId="Underlined">
    <w:name w:val="Underlined"/>
    <w:basedOn w:val="DefaultParagraphFont"/>
    <w:rsid w:val="00EC6C71"/>
    <w:rPr>
      <w:u w:val="single"/>
    </w:rPr>
  </w:style>
  <w:style w:type="paragraph" w:customStyle="1" w:styleId="TableBodyTextRight">
    <w:name w:val="Table Body Text Right"/>
    <w:basedOn w:val="TableBodyText"/>
    <w:rsid w:val="00EC6C71"/>
    <w:pPr>
      <w:widowControl w:val="0"/>
      <w:autoSpaceDE w:val="0"/>
      <w:autoSpaceDN w:val="0"/>
      <w:adjustRightInd w:val="0"/>
      <w:jc w:val="right"/>
    </w:pPr>
    <w:rPr>
      <w:rFonts w:cs="Arial"/>
      <w:szCs w:val="18"/>
    </w:rPr>
  </w:style>
  <w:style w:type="paragraph" w:customStyle="1" w:styleId="CopyrightText">
    <w:name w:val="Copyright Text"/>
    <w:basedOn w:val="BodyText"/>
    <w:rsid w:val="00EC6C71"/>
    <w:rPr>
      <w:sz w:val="18"/>
    </w:rPr>
  </w:style>
  <w:style w:type="paragraph" w:customStyle="1" w:styleId="BodySmallRight">
    <w:name w:val="Body Small Right"/>
    <w:basedOn w:val="BodyTextRight"/>
    <w:rsid w:val="00EC6C71"/>
    <w:rPr>
      <w:sz w:val="18"/>
      <w:szCs w:val="18"/>
    </w:rPr>
  </w:style>
  <w:style w:type="paragraph" w:customStyle="1" w:styleId="MarginEdition">
    <w:name w:val="Margin Edition"/>
    <w:basedOn w:val="MarginNote"/>
    <w:rsid w:val="00EC6C71"/>
    <w:pPr>
      <w:spacing w:before="0" w:after="0"/>
    </w:pPr>
    <w:rPr>
      <w:rFonts w:ascii="Times New Roman" w:hAnsi="Times New Roman"/>
      <w:color w:val="999999"/>
    </w:rPr>
  </w:style>
  <w:style w:type="paragraph" w:customStyle="1" w:styleId="Spacer">
    <w:name w:val="Spacer"/>
    <w:basedOn w:val="Normal"/>
    <w:rsid w:val="00EC6C71"/>
    <w:rPr>
      <w:sz w:val="2"/>
      <w:szCs w:val="2"/>
    </w:rPr>
  </w:style>
  <w:style w:type="character" w:customStyle="1" w:styleId="Small">
    <w:name w:val="Small"/>
    <w:basedOn w:val="DefaultParagraphFont"/>
    <w:rsid w:val="00EC6C71"/>
    <w:rPr>
      <w:sz w:val="16"/>
    </w:rPr>
  </w:style>
  <w:style w:type="paragraph" w:customStyle="1" w:styleId="WideTable">
    <w:name w:val="Wide Table"/>
    <w:basedOn w:val="Normal"/>
    <w:rsid w:val="00EC6C71"/>
    <w:pPr>
      <w:ind w:left="-1418"/>
    </w:pPr>
    <w:rPr>
      <w:sz w:val="2"/>
      <w:szCs w:val="2"/>
    </w:rPr>
  </w:style>
  <w:style w:type="character" w:styleId="PageNumber">
    <w:name w:val="page number"/>
    <w:basedOn w:val="DefaultParagraphFont"/>
    <w:rsid w:val="00EC6C71"/>
  </w:style>
  <w:style w:type="paragraph" w:styleId="Quote">
    <w:name w:val="Quote"/>
    <w:basedOn w:val="Heading1"/>
    <w:link w:val="QuoteChar"/>
    <w:qFormat/>
    <w:rsid w:val="00EC6C71"/>
    <w:rPr>
      <w:b w:val="0"/>
      <w:sz w:val="72"/>
      <w:szCs w:val="72"/>
      <w:lang w:val="en-NZ"/>
    </w:rPr>
  </w:style>
  <w:style w:type="character" w:customStyle="1" w:styleId="QuoteChar">
    <w:name w:val="Quote Char"/>
    <w:basedOn w:val="DefaultParagraphFont"/>
    <w:link w:val="Quote"/>
    <w:rsid w:val="00EC6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C71"/>
    <w:pPr>
      <w:pageBreakBefore/>
    </w:pPr>
  </w:style>
  <w:style w:type="paragraph" w:customStyle="1" w:styleId="Border">
    <w:name w:val="Border"/>
    <w:basedOn w:val="Normal"/>
    <w:qFormat/>
    <w:rsid w:val="00EC6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C71"/>
    <w:rPr>
      <w:b/>
      <w:bCs/>
      <w:i/>
      <w:iCs/>
      <w:color w:val="auto"/>
    </w:rPr>
  </w:style>
  <w:style w:type="paragraph" w:styleId="IntenseQuote">
    <w:name w:val="Intense Quote"/>
    <w:basedOn w:val="Normal"/>
    <w:next w:val="Normal"/>
    <w:link w:val="IntenseQuoteChar"/>
    <w:uiPriority w:val="30"/>
    <w:qFormat/>
    <w:rsid w:val="00EC6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C71"/>
    <w:rPr>
      <w:smallCaps/>
      <w:color w:val="auto"/>
      <w:u w:val="single"/>
    </w:rPr>
  </w:style>
  <w:style w:type="character" w:styleId="IntenseReference">
    <w:name w:val="Intense Reference"/>
    <w:basedOn w:val="DefaultParagraphFont"/>
    <w:uiPriority w:val="32"/>
    <w:qFormat/>
    <w:rsid w:val="00EC6C71"/>
    <w:rPr>
      <w:b/>
      <w:bCs/>
      <w:smallCaps/>
      <w:color w:val="auto"/>
      <w:spacing w:val="5"/>
      <w:u w:val="single"/>
    </w:rPr>
  </w:style>
  <w:style w:type="paragraph" w:customStyle="1" w:styleId="2ColumnHeading">
    <w:name w:val="2Column Heading"/>
    <w:basedOn w:val="BodyText"/>
    <w:qFormat/>
    <w:rsid w:val="00EC6C71"/>
    <w:pPr>
      <w:spacing w:after="60"/>
      <w:ind w:left="-2268"/>
    </w:pPr>
    <w:rPr>
      <w:b/>
    </w:rPr>
  </w:style>
  <w:style w:type="paragraph" w:customStyle="1" w:styleId="Heading1TOC">
    <w:name w:val="Heading1 TOC"/>
    <w:basedOn w:val="Normal"/>
    <w:qFormat/>
    <w:rsid w:val="00EC6C71"/>
    <w:pPr>
      <w:spacing w:before="240" w:after="120"/>
    </w:pPr>
    <w:rPr>
      <w:rFonts w:ascii="Times New Roman" w:hAnsi="Times New Roman"/>
      <w:b/>
      <w:sz w:val="32"/>
    </w:rPr>
  </w:style>
  <w:style w:type="paragraph" w:customStyle="1" w:styleId="Heading2TOC">
    <w:name w:val="Heading2 TOC"/>
    <w:basedOn w:val="Normal"/>
    <w:qFormat/>
    <w:rsid w:val="00EC6C71"/>
    <w:pPr>
      <w:spacing w:before="240" w:after="60"/>
    </w:pPr>
    <w:rPr>
      <w:rFonts w:ascii="Times New Roman" w:hAnsi="Times New Roman"/>
      <w:b/>
      <w:sz w:val="28"/>
    </w:rPr>
  </w:style>
  <w:style w:type="character" w:customStyle="1" w:styleId="Underline">
    <w:name w:val="Underline"/>
    <w:basedOn w:val="DefaultParagraphFont"/>
    <w:qFormat/>
    <w:rsid w:val="00EC6C71"/>
    <w:rPr>
      <w:u w:val="single"/>
    </w:rPr>
  </w:style>
  <w:style w:type="character" w:customStyle="1" w:styleId="BoldandItalics">
    <w:name w:val="Bold and Italics"/>
    <w:qFormat/>
    <w:rsid w:val="00EC6C71"/>
    <w:rPr>
      <w:b/>
      <w:i/>
      <w:u w:val="none"/>
    </w:rPr>
  </w:style>
  <w:style w:type="paragraph" w:styleId="BalloonText">
    <w:name w:val="Balloon Text"/>
    <w:basedOn w:val="Normal"/>
    <w:link w:val="BalloonTextChar"/>
    <w:rsid w:val="00EC6C71"/>
    <w:rPr>
      <w:rFonts w:ascii="Tahoma" w:hAnsi="Tahoma" w:cs="Tahoma"/>
      <w:sz w:val="16"/>
      <w:szCs w:val="16"/>
    </w:rPr>
  </w:style>
  <w:style w:type="character" w:customStyle="1" w:styleId="BalloonTextChar">
    <w:name w:val="Balloon Text Char"/>
    <w:basedOn w:val="DefaultParagraphFont"/>
    <w:link w:val="BalloonText"/>
    <w:rsid w:val="00EC6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C71"/>
    <w:rPr>
      <w:b/>
      <w:color w:val="660033"/>
      <w:spacing w:val="0"/>
    </w:rPr>
  </w:style>
  <w:style w:type="paragraph" w:customStyle="1" w:styleId="Nameditemlist">
    <w:name w:val="Named item list"/>
    <w:basedOn w:val="BodyText"/>
    <w:qFormat/>
    <w:rsid w:val="00EC6C71"/>
    <w:pPr>
      <w:tabs>
        <w:tab w:val="left" w:pos="2835"/>
      </w:tabs>
      <w:ind w:left="2835" w:hanging="2835"/>
    </w:pPr>
  </w:style>
  <w:style w:type="paragraph" w:customStyle="1" w:styleId="BodyTextnopadding">
    <w:name w:val="Body Text no padding"/>
    <w:basedOn w:val="BodyText"/>
    <w:qFormat/>
    <w:rsid w:val="00EC6C71"/>
    <w:pPr>
      <w:spacing w:before="0" w:after="0"/>
    </w:pPr>
  </w:style>
  <w:style w:type="paragraph" w:customStyle="1" w:styleId="BodyTextBold">
    <w:name w:val="Body Text Bold"/>
    <w:basedOn w:val="BodyText"/>
    <w:qFormat/>
    <w:rsid w:val="00EC6C71"/>
    <w:rPr>
      <w:b/>
    </w:rPr>
  </w:style>
  <w:style w:type="character" w:styleId="Hyperlink">
    <w:name w:val="Hyperlink"/>
    <w:basedOn w:val="DefaultParagraphFont"/>
    <w:uiPriority w:val="99"/>
    <w:unhideWhenUsed/>
    <w:rsid w:val="00735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3747</Characters>
  <Application>Microsoft Office Word</Application>
  <DocSecurity>0</DocSecurity>
  <Lines>91</Lines>
  <Paragraphs>68</Paragraphs>
  <ScaleCrop>false</ScaleCrop>
  <Company>Author-it Software Corporation Ltd.</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PUARCV007 Facilitate long-term recovery planning for a disaster event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2022-12-16T01:42:00Z</dcterms:created>
  <dcterms:modified xsi:type="dcterms:W3CDTF">2022-12-16T01:42:00Z</dcterms:modified>
</cp:coreProperties>
</file>