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2D9" w:rsidP="00CD72D9">
      <w:pPr>
        <w:pStyle w:val="Title"/>
      </w:pPr>
      <w:r>
        <w:fldChar w:fldCharType="begin"/>
      </w:r>
      <w:r>
        <w:instrText xml:space="preserve"> TITLE   \* MERGEFORMAT </w:instrText>
      </w:r>
      <w:r>
        <w:fldChar w:fldCharType="separate"/>
      </w:r>
      <w:r>
        <w:t>PUARCV004 Apply person-centred approaches to recovery planning and activities</w:t>
      </w:r>
      <w:r>
        <w:fldChar w:fldCharType="end"/>
      </w:r>
    </w:p>
    <w:p w:rsidR="00CD72D9" w:rsidP="00CD72D9">
      <w:pPr>
        <w:pStyle w:val="Version"/>
        <w:sectPr w:rsidSect="003B5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457" w:rsidP="003B5457">
      <w:pPr>
        <w:pStyle w:val="SuperHeading"/>
      </w:pPr>
      <w:r w:rsidRPr="003B5457">
        <w:t>PUARCV004 Apply person-centred approaches to recovery planning and activities</w:t>
      </w:r>
    </w:p>
    <w:p w:rsidR="00000000" w:rsidRPr="003B5457" w:rsidP="003B5457">
      <w:pPr>
        <w:pStyle w:val="Heading1"/>
      </w:pPr>
      <w:bookmarkStart w:id="1" w:name="O_1239458"/>
      <w:bookmarkEnd w:id="1"/>
      <w:r w:rsidRPr="003B5457">
        <w:t>Modification History</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 xml:space="preserve">Release 1. This is the first release of this unit of competency in the PUA Public Safety Training Package. </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2" w:name="O_1239459"/>
      <w:bookmarkEnd w:id="2"/>
      <w:r w:rsidRPr="003B5457">
        <w:t>Application</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 xml:space="preserve">This unit involves the skills and knowledge required to work in collaboration with external and internal stakeholders involved in emergency and recovery planning across the stages of the prevention, preparedness, response and recovery model. </w:t>
            </w:r>
          </w:p>
          <w:p w:rsidR="00000000" w:rsidRPr="003B5457" w:rsidP="003B5457">
            <w:pPr>
              <w:pStyle w:val="BodyText"/>
            </w:pPr>
            <w:r w:rsidRPr="003B5457">
              <w:t>T</w:t>
            </w:r>
            <w:r w:rsidRPr="003B5457">
              <w:t>his unit applies to personnel who work in recovery policy and planning environments, and those undertaking recovery operations following an emergency or disaster event.</w:t>
            </w:r>
          </w:p>
          <w:p w:rsidR="00000000" w:rsidRPr="003B5457" w:rsidP="003B5457">
            <w:pPr>
              <w:pStyle w:val="BodyText"/>
            </w:pPr>
            <w:r w:rsidRPr="003B5457">
              <w:t xml:space="preserve">Work is undertaken within legislative and existing networks to ensure the provision of </w:t>
            </w:r>
            <w:r w:rsidRPr="003B5457">
              <w:t>recovery policy, planning and activities support and inform person-centred recovery considerations.</w:t>
            </w:r>
          </w:p>
          <w:p w:rsidR="00000000" w:rsidRPr="003B5457" w:rsidP="003B5457">
            <w:pPr>
              <w:pStyle w:val="BodyText"/>
            </w:pPr>
            <w:r w:rsidRPr="003B5457">
              <w:t xml:space="preserve">No licensing, legislative or certification requirements apply to this unit at the time of publication. </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3" w:name="O_1239460"/>
      <w:bookmarkEnd w:id="3"/>
      <w:r w:rsidRPr="003B5457">
        <w:t>Pre-requisite Unit</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Not applicab</w:t>
            </w:r>
            <w:r w:rsidRPr="003B5457">
              <w:t>le.</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4" w:name="O_1239461"/>
      <w:bookmarkEnd w:id="4"/>
      <w:r w:rsidRPr="003B5457">
        <w:t>Competency Field</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Recovery.</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5" w:name="O_1239462"/>
      <w:bookmarkEnd w:id="5"/>
      <w:r w:rsidRPr="003B5457">
        <w:t>Unit Sector</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Not applicable.</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6" w:name="O_1239463"/>
      <w:bookmarkEnd w:id="6"/>
      <w:r w:rsidRPr="003B5457">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3B5457">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PERFORMANCE CRITERIA</w:t>
            </w:r>
          </w:p>
        </w:tc>
      </w:tr>
      <w:tr w:rsidTr="003B5457">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Performance criteria describe the performance needed to demonstrate achievement of the element.</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 xml:space="preserve">Use and strengthen stakeholder networks and relationships </w:t>
            </w: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Formal and informal networks with service providers and vulnerable groups are used to support</w:t>
            </w:r>
            <w:r w:rsidRPr="003B5457">
              <w:t xml:space="preserve"> ongoing and future recovery planning for vulnerable populations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 xml:space="preserve">Relationships across sectors are strengthened through shared expertise, information and resources to improve recovery services and support to vulnerable groups </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1.3</w:t>
            </w:r>
          </w:p>
          <w:p w:rsidR="00000000">
            <w:pPr>
              <w:pStyle w:val="BodyText"/>
              <w:keepLines w:val="0"/>
              <w:spacing w:before="0" w:after="0"/>
              <w:rPr>
                <w:rFonts w:ascii="Tahoma" w:hAnsi="Tahoma"/>
                <w:sz w:val="20"/>
                <w:lang w:val="en-NZ"/>
              </w:rPr>
            </w:pP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Peak bodies and non-government sector are involved in cross-sector, interagency emergency management and recovery planning activities in support of vulnerable populations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Isolated, vulnerable and marginalised groups are identified through existing n</w:t>
            </w:r>
            <w:r w:rsidRPr="003B5457">
              <w:t xml:space="preserve">etworks, and documented according to organisational policies and procedures </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 xml:space="preserve">Communicate and interact with key stakeholders </w:t>
            </w: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Communication strategies to facilitate information sharing between communities, vulnerable populations and other relevant st</w:t>
            </w:r>
            <w:r w:rsidRPr="003B5457">
              <w:t>akeholders is identified and documented according to organisational policies and procedures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Consultation strategies that uphold the right to respect, dignity and provision of honest and transparent information is developed, documented and shared wit</w:t>
            </w:r>
            <w:r w:rsidRPr="003B5457">
              <w:t>h stakeholders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Pre-existing marginalisation that leads to disproportionate impacts on vulnerable groups is shared with planning stakeholders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Cultural protocols and considerations are used to inform emergency and recovery planning</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 xml:space="preserve">Person-centred approaches and considerations across the four elements of preparedness, planning, response and recovery are shared with relevant stakeholders  </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2.6</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Person-centred and capability approaches to resilience building is explained to recovery p</w:t>
            </w:r>
            <w:r w:rsidRPr="003B5457">
              <w:t xml:space="preserve">lanners and practitioners to be incorporated into their work </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Contribute to recovery planning context and framework</w:t>
            </w:r>
            <w:r w:rsidRPr="003B5457">
              <w:t> </w:t>
            </w: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Legislative, regulatory and organisational requirements, policy, procedures, existing arrangements and plans impacting on the recovery planning framework are identified, analysed and shared</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Compatibility, links and interactions between emergency management plans and recovery policies and principles are researched and shared in a timely fashion</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Support gaps are identified and documented to improve efficiency and effectiveness of emergen</w:t>
            </w:r>
            <w:r w:rsidRPr="003B5457">
              <w:t xml:space="preserve">cy planning for vulnerable populations </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Affected vulnerable and marginalised communities and individuals are enabled to identify and communicate their priorities and needs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Existing strengths and capacities of vulnerable populations are identi</w:t>
            </w:r>
            <w:r w:rsidRPr="003B5457">
              <w:t>fied and documented</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3.6</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Inclusive practices are identified and applied in the design and delivery of recovery programs and activities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3.7</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Existing resources that support a place-based, pers</w:t>
            </w:r>
            <w:r w:rsidRPr="003B5457">
              <w:t>on-centred and community-led approach are identified and documented accurately</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Collaborate on reducing risks</w:t>
            </w: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Key stakeholders are engaged across sectors and communities to identify risks to vulnerable populations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Vulnerable populations</w:t>
            </w:r>
            <w:r>
              <w:t>’</w:t>
            </w:r>
            <w:r w:rsidRPr="003B5457">
              <w:t xml:space="preserve"> susce</w:t>
            </w:r>
            <w:r w:rsidRPr="003B5457">
              <w:t>ptibility and resilience to risks are incorporated into preparedness activities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4.3</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Ongoing collaboration between peak bodies and recovery practitioners is conducted to identify recovery outcomes and/or evolving needs/priorities and strengths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4.4</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Alternate sources and guidance such as the disability action plan are utilised to inform emergency and recovery planning processes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5</w:t>
            </w:r>
          </w:p>
        </w:tc>
        <w:tc>
          <w:tcPr>
            <w:tcW w:w="2855"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rPr>
                <w:rStyle w:val="SpecialBold"/>
              </w:rPr>
              <w:t>Embed learning opportunities into ongoing practice</w:t>
            </w: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5.1</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Monitoring and evaluation activities are conducted to capture and r</w:t>
            </w:r>
            <w:r w:rsidRPr="003B5457">
              <w:t>eflect person-centred recovery approaches and considerations to inform future recovery planning and activities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5.2</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Communities are enabled to incorporate learnings into their processes for current recovery and resilience</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5.3</w:t>
            </w:r>
          </w:p>
        </w:tc>
        <w:tc>
          <w:tcPr>
            <w:tcW w:w="5542"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Evaluation of recovery of</w:t>
            </w:r>
            <w:r w:rsidRPr="003B5457">
              <w:t xml:space="preserve"> non-government organisations and peak bodies who provide ongoing support to vulnerable people and groups is conducted to ensure person-centred considerations are embedded in leaning outcomes</w:t>
            </w:r>
          </w:p>
        </w:tc>
      </w:tr>
      <w:tr w:rsidTr="003B5457">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B5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rPr>
                <w:rStyle w:val="SpecialBold"/>
              </w:rPr>
              <w:t>5.4</w:t>
            </w:r>
          </w:p>
        </w:tc>
        <w:tc>
          <w:tcPr>
            <w:tcW w:w="5542"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 xml:space="preserve">Interagency lesson management processes are contributed to and documented accurately </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7" w:name="O_1239464"/>
      <w:bookmarkEnd w:id="7"/>
      <w:r w:rsidRPr="003B5457">
        <w:t>Foundation Skills</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Foundation skills essential to performance are explicit in the performance criteria of this unit of competency.</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8" w:name="O_1239465"/>
      <w:bookmarkEnd w:id="8"/>
      <w:r w:rsidRPr="003B5457">
        <w:t>Range of Conditions</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Range is restricted to essential operating conditions and any other variables essential to the work environment.</w:t>
            </w:r>
          </w:p>
          <w:p w:rsidR="00000000" w:rsidRPr="003B5457" w:rsidP="003B5457">
            <w:pPr>
              <w:pStyle w:val="BodyText"/>
            </w:pPr>
            <w:r w:rsidRPr="003B5457">
              <w:t>Non-essential conditions may be found in the PUA Public Safety Training Package Companion Volume Implementation Guide.</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9" w:name="O_1239466"/>
      <w:bookmarkEnd w:id="9"/>
      <w:r w:rsidRPr="003B5457">
        <w:t>Unit Mapping Information</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This is a new unit. No equivalent unit.</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10" w:name="O_1239473"/>
      <w:bookmarkEnd w:id="10"/>
      <w:r w:rsidRPr="003B5457">
        <w:t>Links</w:t>
      </w:r>
    </w:p>
    <w:p w:rsidR="00000000" w:rsidRPr="003B5457" w:rsidP="00CD72D9">
      <w:pPr>
        <w:pStyle w:val="BodyText"/>
      </w:pPr>
      <w:r w:rsidRPr="003B545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54D8E">
        <w:rPr>
          <w:rStyle w:val="Hyperlink"/>
        </w:rPr>
        <w:t>https://vetnet.gov.au/Pages/TrainingDocs.aspx?q=3eca5672-6d5a-410b-8942-810d0ba05bbf</w:t>
      </w:r>
      <w:r>
        <w:fldChar w:fldCharType="end"/>
      </w:r>
    </w:p>
    <w:p w:rsidR="00000000" w:rsidRPr="003B5457" w:rsidP="00CD72D9">
      <w:pPr>
        <w:pStyle w:val="BodyText"/>
        <w:sectPr w:rsidSect="003B5457">
          <w:headerReference w:type="default" r:id="rId10"/>
          <w:footerReference w:type="default" r:id="rId11"/>
          <w:pgSz w:w="11908" w:h="16833"/>
          <w:pgMar w:top="1702" w:right="1418" w:bottom="1702" w:left="1418" w:header="992" w:footer="992" w:gutter="0"/>
          <w:cols w:space="720"/>
          <w:noEndnote/>
          <w:docGrid w:linePitch="299"/>
        </w:sectPr>
      </w:pPr>
    </w:p>
    <w:p w:rsidR="00000000" w:rsidRPr="003B5457" w:rsidP="003B5457">
      <w:pPr>
        <w:pStyle w:val="SuperHeading"/>
      </w:pPr>
      <w:r w:rsidRPr="003B5457">
        <w:t>Assessment Requirements for PUARCV004 Apply person-centred approaches to recovery planning and activities</w:t>
      </w:r>
    </w:p>
    <w:p w:rsidR="00000000" w:rsidRPr="003B5457" w:rsidP="003B5457">
      <w:pPr>
        <w:pStyle w:val="Heading1"/>
      </w:pPr>
      <w:bookmarkStart w:id="11" w:name="O_1239468"/>
      <w:bookmarkEnd w:id="11"/>
      <w:r w:rsidRPr="003B5457">
        <w:t>Modification History</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Release 1. This is the first release of this unit of competency in the PUA Public Safety Training Package.</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12" w:name="O_1239469"/>
      <w:bookmarkEnd w:id="12"/>
      <w:r w:rsidRPr="003B5457">
        <w:t>Performance Evidence</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 xml:space="preserve">Evidence required to demonstrate competence in this unit must be relevant to and satisfy all of the requirements of the elements and performance criteria on at least one occasion and include: </w:t>
            </w:r>
          </w:p>
        </w:tc>
      </w:tr>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ListBullet"/>
            </w:pPr>
            <w:r w:rsidRPr="003B5457">
              <w:t>communicating with stakeholders and networks</w:t>
            </w:r>
          </w:p>
          <w:p w:rsidR="00000000" w:rsidRPr="003B5457" w:rsidP="003B5457">
            <w:pPr>
              <w:pStyle w:val="ListBullet"/>
            </w:pPr>
            <w:r w:rsidRPr="003B5457">
              <w:t>conducting cross</w:t>
            </w:r>
            <w:r w:rsidRPr="003B5457">
              <w:t>-sector, interagency emergency management and recovery planning activities</w:t>
            </w:r>
          </w:p>
          <w:p w:rsidR="00000000" w:rsidRPr="003B5457" w:rsidP="003B5457">
            <w:pPr>
              <w:pStyle w:val="ListBullet"/>
            </w:pPr>
            <w:r w:rsidRPr="003B5457">
              <w:t>contributing to recovery planning teams</w:t>
            </w:r>
          </w:p>
          <w:p w:rsidR="00000000" w:rsidRPr="003B5457" w:rsidP="003B5457">
            <w:pPr>
              <w:pStyle w:val="ListBullet"/>
            </w:pPr>
            <w:r w:rsidRPr="003B5457">
              <w:t xml:space="preserve">developing stakeholder consultation strategies </w:t>
            </w:r>
          </w:p>
          <w:p w:rsidR="00000000" w:rsidRPr="003B5457" w:rsidP="003B5457">
            <w:pPr>
              <w:pStyle w:val="ListBullet"/>
            </w:pPr>
            <w:r w:rsidRPr="003B5457">
              <w:t xml:space="preserve">evaluating recovery activities to embed lessons management in recovery planning </w:t>
            </w:r>
          </w:p>
          <w:p w:rsidR="00000000" w:rsidRPr="003B5457" w:rsidP="003B5457">
            <w:pPr>
              <w:pStyle w:val="ListBullet"/>
            </w:pPr>
            <w:r w:rsidRPr="003B5457">
              <w:t>following or</w:t>
            </w:r>
            <w:r w:rsidRPr="003B5457">
              <w:t xml:space="preserve">ganisation’s recovery instructions and arrangements </w:t>
            </w:r>
          </w:p>
          <w:p w:rsidR="00000000" w:rsidRPr="003B5457" w:rsidP="003B5457">
            <w:pPr>
              <w:pStyle w:val="ListBullet"/>
            </w:pPr>
            <w:r w:rsidRPr="003B5457">
              <w:t>identifying and documenting isolated, vulnerable and marginalised groups</w:t>
            </w:r>
          </w:p>
          <w:p w:rsidR="00000000" w:rsidRPr="003B5457" w:rsidP="003B5457">
            <w:pPr>
              <w:pStyle w:val="ListBullet"/>
            </w:pPr>
            <w:r w:rsidRPr="003B5457">
              <w:t>identifying and reducing risks to vulnerable populations</w:t>
            </w:r>
          </w:p>
          <w:p w:rsidR="00000000" w:rsidRPr="003B5457" w:rsidP="003B5457">
            <w:pPr>
              <w:pStyle w:val="ListBullet"/>
            </w:pPr>
            <w:r w:rsidRPr="003B5457">
              <w:t>identifying recovery assistance measures to meet needs of disaster-impact</w:t>
            </w:r>
            <w:r w:rsidRPr="003B5457">
              <w:t xml:space="preserve">ed individuals </w:t>
            </w:r>
          </w:p>
          <w:p w:rsidR="00000000" w:rsidRPr="003B5457" w:rsidP="003B5457">
            <w:pPr>
              <w:pStyle w:val="ListBullet"/>
            </w:pPr>
            <w:r w:rsidRPr="003B5457">
              <w:t xml:space="preserve">obtaining and recording recovery needs of disaster-impacted individuals </w:t>
            </w:r>
          </w:p>
          <w:p w:rsidR="00000000" w:rsidRPr="003B5457" w:rsidP="003B5457">
            <w:pPr>
              <w:pStyle w:val="ListBullet"/>
            </w:pPr>
            <w:r w:rsidRPr="003B5457">
              <w:t>preparing referrals to appropriate service delivery agencies</w:t>
            </w:r>
          </w:p>
          <w:p w:rsidR="00000000" w:rsidRPr="003B5457" w:rsidP="003B5457">
            <w:pPr>
              <w:pStyle w:val="ListBullet"/>
            </w:pPr>
            <w:r w:rsidRPr="003B5457">
              <w:t>working in partnership with disaster-impacted person on recovery needs</w:t>
            </w:r>
          </w:p>
          <w:p w:rsidR="00000000" w:rsidRPr="003B5457" w:rsidP="003B5457">
            <w:pPr>
              <w:pStyle w:val="ListBullet"/>
            </w:pPr>
            <w:r w:rsidRPr="003B5457">
              <w:t>working with other relevant stakeholders in coordination of recovery needs.</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13" w:name="O_1239470"/>
      <w:bookmarkEnd w:id="13"/>
      <w:r w:rsidRPr="003B5457">
        <w:t>Knowledge Evidence</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5457">
            <w:pPr>
              <w:pStyle w:val="BodyText"/>
              <w:rPr>
                <w:lang w:val="en-NZ"/>
              </w:rPr>
            </w:pPr>
            <w:r w:rsidRPr="003B5457">
              <w:t>Evidence required to demonstrate competence in this unit must be relevant to and satisfy all of the requirements of the elements and perfor</w:t>
            </w:r>
            <w:r w:rsidRPr="003B5457">
              <w:t xml:space="preserve">mance criteria and include knowledge of: </w:t>
            </w:r>
          </w:p>
        </w:tc>
      </w:tr>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ListBullet"/>
            </w:pPr>
            <w:r w:rsidRPr="003B5457">
              <w:t xml:space="preserve">consultation strategies </w:t>
            </w:r>
          </w:p>
          <w:p w:rsidR="00000000" w:rsidRPr="003B5457" w:rsidP="003B5457">
            <w:pPr>
              <w:pStyle w:val="ListBullet"/>
            </w:pPr>
            <w:r w:rsidRPr="003B5457">
              <w:t>cultural protocols</w:t>
            </w:r>
          </w:p>
          <w:p w:rsidR="00000000" w:rsidRPr="003B5457" w:rsidP="003B5457">
            <w:pPr>
              <w:pStyle w:val="ListBullet"/>
            </w:pPr>
            <w:r w:rsidRPr="003B5457">
              <w:t xml:space="preserve">definitions of disaster and recovery </w:t>
            </w:r>
          </w:p>
          <w:p w:rsidR="00000000" w:rsidRPr="003B5457" w:rsidP="003B5457">
            <w:pPr>
              <w:pStyle w:val="ListBullet"/>
            </w:pPr>
            <w:r w:rsidRPr="003B5457">
              <w:t>definitions of person-centred approaches and practices</w:t>
            </w:r>
          </w:p>
          <w:p w:rsidR="00000000" w:rsidRPr="003B5457" w:rsidP="003B5457">
            <w:pPr>
              <w:pStyle w:val="ListBullet"/>
            </w:pPr>
            <w:r w:rsidRPr="003B5457">
              <w:t>disability action plans</w:t>
            </w:r>
          </w:p>
          <w:p w:rsidR="00000000" w:rsidRPr="003B5457" w:rsidP="003B5457">
            <w:pPr>
              <w:pStyle w:val="ListBullet"/>
            </w:pPr>
            <w:r w:rsidRPr="003B5457">
              <w:t>disaster recovery funding arrangements</w:t>
            </w:r>
          </w:p>
          <w:p w:rsidR="00000000" w:rsidRPr="003B5457" w:rsidP="003B5457">
            <w:pPr>
              <w:pStyle w:val="ListBullet"/>
            </w:pPr>
            <w:r w:rsidRPr="003B5457">
              <w:t xml:space="preserve">disaster welfare services, processes and practices </w:t>
            </w:r>
          </w:p>
          <w:p w:rsidR="00000000" w:rsidRPr="003B5457" w:rsidP="003B5457">
            <w:pPr>
              <w:pStyle w:val="ListBullet"/>
            </w:pPr>
            <w:r w:rsidRPr="003B5457">
              <w:t>evaluation techniques to use in recovery planning and activities</w:t>
            </w:r>
          </w:p>
          <w:p w:rsidR="00000000" w:rsidRPr="003B5457" w:rsidP="003B5457">
            <w:pPr>
              <w:pStyle w:val="ListBullet"/>
            </w:pPr>
            <w:r w:rsidRPr="003B5457">
              <w:t>formal and informal networks</w:t>
            </w:r>
          </w:p>
          <w:p w:rsidR="00000000" w:rsidRPr="003B5457" w:rsidP="003B5457">
            <w:pPr>
              <w:pStyle w:val="ListBullet"/>
            </w:pPr>
            <w:r w:rsidRPr="003B5457">
              <w:t>key recovery stakeholders, including peak bodies</w:t>
            </w:r>
          </w:p>
          <w:p w:rsidR="00000000" w:rsidRPr="003B5457" w:rsidP="003B5457">
            <w:pPr>
              <w:pStyle w:val="ListBullet"/>
            </w:pPr>
            <w:r w:rsidRPr="003B5457">
              <w:t xml:space="preserve">lesson management processes </w:t>
            </w:r>
          </w:p>
          <w:p w:rsidR="00000000" w:rsidRPr="003B5457" w:rsidP="003B5457">
            <w:pPr>
              <w:pStyle w:val="ListBullet"/>
            </w:pPr>
            <w:r w:rsidRPr="003B5457">
              <w:t>organisational quality systems f</w:t>
            </w:r>
            <w:r w:rsidRPr="003B5457">
              <w:t>or providing service delivery to disaster</w:t>
            </w:r>
            <w:r w:rsidRPr="003B5457">
              <w:noBreakHyphen/>
              <w:t>impacted person</w:t>
            </w:r>
          </w:p>
          <w:p w:rsidR="00000000" w:rsidRPr="003B5457" w:rsidP="003B5457">
            <w:pPr>
              <w:pStyle w:val="ListBullet"/>
            </w:pPr>
            <w:r w:rsidRPr="003B5457">
              <w:t>person-centred approaches</w:t>
            </w:r>
          </w:p>
          <w:p w:rsidR="00000000" w:rsidRPr="003B5457" w:rsidP="003B5457">
            <w:pPr>
              <w:pStyle w:val="ListBullet"/>
            </w:pPr>
            <w:r w:rsidRPr="003B5457">
              <w:t>procedures for providing service delivery to disaster</w:t>
            </w:r>
            <w:r w:rsidRPr="003B5457">
              <w:noBreakHyphen/>
              <w:t xml:space="preserve">impacted person </w:t>
            </w:r>
          </w:p>
          <w:p w:rsidR="00000000" w:rsidRPr="003B5457" w:rsidP="003B5457">
            <w:pPr>
              <w:pStyle w:val="ListBullet"/>
            </w:pPr>
            <w:r w:rsidRPr="003B5457">
              <w:t>procedures for service delivery to an individual, including quality control</w:t>
            </w:r>
          </w:p>
          <w:p w:rsidR="00000000" w:rsidRPr="003B5457" w:rsidP="003B5457">
            <w:pPr>
              <w:pStyle w:val="ListBullet"/>
            </w:pPr>
            <w:r w:rsidRPr="003B5457">
              <w:t xml:space="preserve">psychological first aid </w:t>
            </w:r>
          </w:p>
          <w:p w:rsidR="00000000" w:rsidRPr="003B5457" w:rsidP="003B5457">
            <w:pPr>
              <w:pStyle w:val="ListBullet"/>
            </w:pPr>
            <w:r w:rsidRPr="003B5457">
              <w:t xml:space="preserve">recovery environments </w:t>
            </w:r>
          </w:p>
          <w:p w:rsidR="00000000" w:rsidRPr="003B5457" w:rsidP="003B5457">
            <w:pPr>
              <w:pStyle w:val="ListBullet"/>
            </w:pPr>
            <w:r w:rsidRPr="003B5457">
              <w:t xml:space="preserve">relevant legislation that impacts on recovery planning activities </w:t>
            </w:r>
          </w:p>
          <w:p w:rsidR="00000000" w:rsidRPr="003B5457" w:rsidP="003B5457">
            <w:pPr>
              <w:pStyle w:val="ListBullet"/>
            </w:pPr>
            <w:r w:rsidRPr="003B5457">
              <w:t>services provided by evacuation, relief or recovery centres, and outreach teams</w:t>
            </w:r>
          </w:p>
          <w:p w:rsidR="00000000" w:rsidRPr="003B5457" w:rsidP="003B5457">
            <w:pPr>
              <w:pStyle w:val="ListBullet"/>
            </w:pPr>
            <w:r w:rsidRPr="003B5457">
              <w:t xml:space="preserve">support services available for disaster-impacted people </w:t>
            </w:r>
          </w:p>
          <w:p w:rsidR="00000000" w:rsidRPr="003B5457" w:rsidP="003B5457">
            <w:pPr>
              <w:pStyle w:val="ListBullet"/>
            </w:pPr>
            <w:r w:rsidRPr="003B5457">
              <w:t>vulnerable and marginalised g</w:t>
            </w:r>
            <w:r w:rsidRPr="003B5457">
              <w:t>roups.</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14" w:name="O_1239471"/>
      <w:bookmarkEnd w:id="14"/>
      <w:r w:rsidRPr="003B5457">
        <w:t>Assessment Conditions</w:t>
      </w:r>
    </w:p>
    <w:tbl>
      <w:tblPr>
        <w:tblW w:w="9497" w:type="dxa"/>
        <w:tblLayout w:type="fixed"/>
        <w:tblCellMar>
          <w:left w:w="62" w:type="dxa"/>
          <w:right w:w="62" w:type="dxa"/>
        </w:tblCellMar>
        <w:tblLook w:val="0000"/>
      </w:tblPr>
      <w:tblGrid>
        <w:gridCol w:w="9497"/>
      </w:tblGrid>
      <w:tr w:rsidTr="003B5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457" w:rsidP="003B5457">
            <w:pPr>
              <w:pStyle w:val="BodyText"/>
            </w:pPr>
            <w:r w:rsidRPr="003B5457">
              <w:t>Assessors must hold credentials specified within the Standards for Registered Training Organisations current at the time of assessment.</w:t>
            </w:r>
          </w:p>
          <w:p w:rsidR="00000000" w:rsidRPr="003B5457" w:rsidP="003B5457">
            <w:pPr>
              <w:pStyle w:val="BodyText"/>
            </w:pPr>
            <w:r w:rsidRPr="003B5457">
              <w:t>Assessment must satisfy the Principles of Assessment and Rules of Evidence and all regulatory requirements included within the Standards for Registered Training Organisations current at the time of assessment.</w:t>
            </w:r>
          </w:p>
          <w:p w:rsidR="00000000" w:rsidRPr="003B5457" w:rsidP="003B5457">
            <w:pPr>
              <w:pStyle w:val="BodyText"/>
            </w:pPr>
            <w:r w:rsidRPr="003B5457">
              <w:t>Assessment must occur in workplace operational</w:t>
            </w:r>
            <w:r w:rsidRPr="003B5457">
              <w:t xml:space="preserve"> situations. Where this is not appropriate, assessment must occur in simulated workplace operational situations that reflect workplace conditions.</w:t>
            </w:r>
          </w:p>
          <w:p w:rsidR="00000000" w:rsidRPr="003B5457" w:rsidP="003B5457">
            <w:pPr>
              <w:pStyle w:val="BodyText"/>
            </w:pPr>
            <w:r w:rsidRPr="003B5457">
              <w:t>Assessment processes and techniques must be appropriate to the language, literacy and numeracy requirements o</w:t>
            </w:r>
            <w:r w:rsidRPr="003B5457">
              <w:t>f the work being performed and the needs of the candidate.</w:t>
            </w:r>
          </w:p>
          <w:p w:rsidR="00000000" w:rsidRPr="003B5457" w:rsidP="003B5457">
            <w:pPr>
              <w:pStyle w:val="BodyText"/>
            </w:pPr>
            <w:r w:rsidRPr="003B5457">
              <w:t>Resources for assessment must include access to:</w:t>
            </w:r>
          </w:p>
          <w:p w:rsidR="00000000" w:rsidRPr="003B5457" w:rsidP="003B5457">
            <w:pPr>
              <w:pStyle w:val="ListBullet"/>
            </w:pPr>
            <w:r w:rsidRPr="003B5457">
              <w:t>a range of relevant exercises, case studies and/or simulations</w:t>
            </w:r>
          </w:p>
          <w:p w:rsidR="00000000" w:rsidRPr="003B5457" w:rsidP="003B5457">
            <w:pPr>
              <w:pStyle w:val="ListBullet"/>
            </w:pPr>
            <w:r w:rsidRPr="003B5457">
              <w:t>applicable documentation, including workplace procedures, regulations, codes of prac</w:t>
            </w:r>
            <w:r w:rsidRPr="003B5457">
              <w:t>tice and operation manuals</w:t>
            </w:r>
          </w:p>
          <w:p w:rsidR="00000000" w:rsidRPr="003B5457" w:rsidP="003B5457">
            <w:pPr>
              <w:pStyle w:val="ListBullet"/>
            </w:pPr>
            <w:r w:rsidRPr="003B5457">
              <w:t>relevant materials, tools, equipment and personal protective equipment (PPE) currently used in industry.</w:t>
            </w:r>
          </w:p>
        </w:tc>
      </w:tr>
    </w:tbl>
    <w:p w:rsidR="00000000" w:rsidRPr="003B5457" w:rsidP="003B5457">
      <w:pPr>
        <w:pStyle w:val="NoPaddingFontSize1"/>
      </w:pPr>
    </w:p>
    <w:p w:rsidR="00000000" w:rsidRPr="003B5457" w:rsidP="003B5457">
      <w:pPr>
        <w:pStyle w:val="AllowPageBreak"/>
      </w:pPr>
    </w:p>
    <w:p w:rsidR="00000000" w:rsidRPr="003B5457" w:rsidP="003B5457">
      <w:pPr>
        <w:pStyle w:val="Heading1"/>
      </w:pPr>
      <w:bookmarkStart w:id="15" w:name="O_1239474"/>
      <w:bookmarkEnd w:id="15"/>
      <w:r w:rsidRPr="003B5457">
        <w:t>Links</w:t>
      </w:r>
    </w:p>
    <w:p w:rsidR="00000000" w:rsidRPr="003B5457" w:rsidP="00CD72D9">
      <w:pPr>
        <w:pStyle w:val="BodyText"/>
      </w:pPr>
      <w:r w:rsidRPr="003B545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54D8E">
        <w:rPr>
          <w:rStyle w:val="Hyperlink"/>
        </w:rPr>
        <w:t>https://vetnet.gov.au/Pages/TrainingDocs.aspx?q=3eca5672-6d5a-410b-8942-810d0ba05bbf</w:t>
      </w:r>
      <w:r>
        <w:fldChar w:fldCharType="end"/>
      </w:r>
    </w:p>
    <w:p w:rsidR="00000000" w:rsidRPr="003B5457" w:rsidP="003B5457"/>
    <w:sectPr w:rsidSect="003B54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57" w:rsidRPr="00CD72D9" w:rsidP="00CD7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D9" w:rsidP="003B5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72D9" w:rsidP="003B54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D72D9" w:rsidP="003B54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57" w:rsidP="003B5457">
    <w:pPr>
      <w:pStyle w:val="Footer"/>
      <w:framePr w:wrap="around"/>
    </w:pPr>
    <w:r>
      <w:fldChar w:fldCharType="begin"/>
    </w:r>
    <w:r>
      <w:instrText xml:space="preserve"> DOCPROPERTY  Subject  \* MERGEFORMAT </w:instrText>
    </w:r>
    <w:r>
      <w:fldChar w:fldCharType="separate"/>
    </w:r>
    <w:r w:rsidR="00CD72D9">
      <w:t>Approved</w:t>
    </w:r>
    <w:r w:rsidR="00CD72D9">
      <w:fldChar w:fldCharType="end"/>
    </w:r>
    <w:r>
      <w:tab/>
      <w:t xml:space="preserve">Page </w:t>
    </w:r>
    <w:r>
      <w:fldChar w:fldCharType="begin"/>
    </w:r>
    <w:r>
      <w:instrText xml:space="preserve"> PAGE  \* Arabic  \* MERGEFORMAT </w:instrText>
    </w:r>
    <w:r>
      <w:fldChar w:fldCharType="separate"/>
    </w:r>
    <w:r w:rsidR="00CD72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72D9">
      <w:rPr>
        <w:noProof/>
      </w:rPr>
      <w:t>6</w:t>
    </w:r>
    <w:r>
      <w:rPr>
        <w:noProof/>
      </w:rPr>
      <w:fldChar w:fldCharType="end"/>
    </w:r>
  </w:p>
  <w:p w:rsidR="003B5457" w:rsidP="003B5457">
    <w:pPr>
      <w:pStyle w:val="Footer"/>
      <w:framePr w:wrap="around"/>
    </w:pPr>
    <w:r>
      <w:t xml:space="preserve">© Commonwealth of Australia, </w:t>
    </w:r>
    <w:r>
      <w:fldChar w:fldCharType="begin"/>
    </w:r>
    <w:r>
      <w:instrText xml:space="preserve"> DATE  \@ "yyyy"  \* MERGEFORMAT </w:instrText>
    </w:r>
    <w:r>
      <w:fldChar w:fldCharType="separate"/>
    </w:r>
    <w:r w:rsidR="00CD72D9">
      <w:rPr>
        <w:noProof/>
      </w:rPr>
      <w:t>2025</w:t>
    </w:r>
    <w:r>
      <w:fldChar w:fldCharType="end"/>
    </w:r>
    <w:r>
      <w:tab/>
    </w:r>
    <w:r>
      <w:fldChar w:fldCharType="begin"/>
    </w:r>
    <w:r>
      <w:instrText xml:space="preserve"> DOCPROPERTY  Author  \* MERGEFORMAT </w:instrText>
    </w:r>
    <w:r>
      <w:fldChar w:fldCharType="separate"/>
    </w:r>
    <w:r w:rsidR="00CD72D9">
      <w:t>Public Skills Australia</w:t>
    </w:r>
    <w:r w:rsidR="00CD72D9">
      <w:fldChar w:fldCharType="end"/>
    </w:r>
  </w:p>
  <w:p w:rsidR="003B5457" w:rsidP="003B5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457" w:rsidRPr="00CD72D9" w:rsidP="00CD72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D9" w:rsidRPr="002D2AF8" w:rsidP="003B5457">
    <w:pPr>
      <w:pStyle w:val="Header"/>
      <w:framePr w:wrap="around"/>
    </w:pPr>
    <w:r>
      <w:fldChar w:fldCharType="begin"/>
    </w:r>
    <w:r>
      <w:instrText xml:space="preserve"> TITLE   \* MERGEFORMAT </w:instrText>
    </w:r>
    <w:r>
      <w:fldChar w:fldCharType="separate"/>
    </w:r>
    <w:r>
      <w:t>PUARCV004 Apply person-centred approaches to recovery planning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72D9" w:rsidP="003B54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57" w:rsidRPr="002D2AF8" w:rsidP="003B5457">
    <w:pPr>
      <w:pStyle w:val="Header"/>
      <w:framePr w:wrap="around"/>
    </w:pPr>
    <w:r>
      <w:fldChar w:fldCharType="begin"/>
    </w:r>
    <w:r>
      <w:instrText xml:space="preserve"> TITLE   \* MERGEFORMAT </w:instrText>
    </w:r>
    <w:r>
      <w:fldChar w:fldCharType="separate"/>
    </w:r>
    <w:r w:rsidR="00CD72D9">
      <w:t>PUARCV004 Apply person-centred approaches to recovery planning and activities</w:t>
    </w:r>
    <w:r w:rsidR="00CD72D9">
      <w:fldChar w:fldCharType="end"/>
    </w:r>
    <w:r>
      <w:tab/>
      <w:t xml:space="preserve">Date this document was generated: </w:t>
    </w:r>
    <w:r>
      <w:fldChar w:fldCharType="begin"/>
    </w:r>
    <w:r>
      <w:instrText xml:space="preserve"> CREATEDATE  \@ "d MMMM yyyy"  \* MERGEFORMAT </w:instrText>
    </w:r>
    <w:r>
      <w:fldChar w:fldCharType="separate"/>
    </w:r>
    <w:r w:rsidR="00CD72D9">
      <w:rPr>
        <w:noProof/>
      </w:rPr>
      <w:t>1 March 2025</w:t>
    </w:r>
    <w:r>
      <w:fldChar w:fldCharType="end"/>
    </w:r>
  </w:p>
  <w:p w:rsidR="003B5457" w:rsidP="003B5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885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5450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457"/>
    <w:pPr>
      <w:spacing w:before="360" w:after="60"/>
      <w:outlineLvl w:val="0"/>
    </w:pPr>
    <w:rPr>
      <w:sz w:val="32"/>
    </w:rPr>
  </w:style>
  <w:style w:type="paragraph" w:styleId="Heading2">
    <w:name w:val="heading 2"/>
    <w:basedOn w:val="HeadingBase"/>
    <w:next w:val="BodyText"/>
    <w:link w:val="Heading2Char"/>
    <w:qFormat/>
    <w:rsid w:val="003B5457"/>
    <w:pPr>
      <w:keepLines/>
      <w:spacing w:before="240" w:after="120"/>
      <w:outlineLvl w:val="1"/>
    </w:pPr>
    <w:rPr>
      <w:sz w:val="28"/>
      <w:szCs w:val="40"/>
    </w:rPr>
  </w:style>
  <w:style w:type="paragraph" w:styleId="Heading3">
    <w:name w:val="heading 3"/>
    <w:basedOn w:val="HeadingBase"/>
    <w:next w:val="BodyText"/>
    <w:link w:val="Heading3Char"/>
    <w:qFormat/>
    <w:rsid w:val="003B5457"/>
    <w:pPr>
      <w:spacing w:before="180" w:after="120"/>
      <w:outlineLvl w:val="2"/>
    </w:pPr>
    <w:rPr>
      <w:spacing w:val="-10"/>
      <w:kern w:val="32"/>
    </w:rPr>
  </w:style>
  <w:style w:type="paragraph" w:styleId="Heading4">
    <w:name w:val="heading 4"/>
    <w:basedOn w:val="HeadingBase"/>
    <w:next w:val="BodyText"/>
    <w:link w:val="Heading4Char"/>
    <w:qFormat/>
    <w:rsid w:val="003B5457"/>
    <w:pPr>
      <w:spacing w:before="160" w:after="120"/>
      <w:outlineLvl w:val="3"/>
    </w:pPr>
    <w:rPr>
      <w:sz w:val="22"/>
    </w:rPr>
  </w:style>
  <w:style w:type="paragraph" w:styleId="Heading5">
    <w:name w:val="heading 5"/>
    <w:basedOn w:val="HeadingBase"/>
    <w:next w:val="Normal"/>
    <w:link w:val="Heading5Char"/>
    <w:qFormat/>
    <w:rsid w:val="003B5457"/>
    <w:pPr>
      <w:spacing w:before="80"/>
      <w:outlineLvl w:val="4"/>
    </w:pPr>
    <w:rPr>
      <w:color w:val="918585"/>
      <w:sz w:val="20"/>
    </w:rPr>
  </w:style>
  <w:style w:type="paragraph" w:styleId="Heading6">
    <w:name w:val="heading 6"/>
    <w:basedOn w:val="HeadingBase"/>
    <w:next w:val="Normal"/>
    <w:link w:val="Heading6Char"/>
    <w:qFormat/>
    <w:rsid w:val="003B5457"/>
    <w:pPr>
      <w:spacing w:before="60"/>
      <w:outlineLvl w:val="5"/>
    </w:pPr>
    <w:rPr>
      <w:color w:val="918585"/>
      <w:sz w:val="20"/>
    </w:rPr>
  </w:style>
  <w:style w:type="paragraph" w:styleId="Heading7">
    <w:name w:val="heading 7"/>
    <w:basedOn w:val="Normal"/>
    <w:next w:val="Normal"/>
    <w:link w:val="Heading7Char"/>
    <w:qFormat/>
    <w:rsid w:val="003B5457"/>
    <w:pPr>
      <w:ind w:left="720"/>
      <w:outlineLvl w:val="6"/>
    </w:pPr>
    <w:rPr>
      <w:i/>
    </w:rPr>
  </w:style>
  <w:style w:type="paragraph" w:styleId="Heading8">
    <w:name w:val="heading 8"/>
    <w:basedOn w:val="Normal"/>
    <w:next w:val="Normal"/>
    <w:link w:val="Heading8Char"/>
    <w:qFormat/>
    <w:rsid w:val="003B5457"/>
    <w:pPr>
      <w:ind w:left="720"/>
      <w:outlineLvl w:val="7"/>
    </w:pPr>
    <w:rPr>
      <w:i/>
    </w:rPr>
  </w:style>
  <w:style w:type="paragraph" w:styleId="Heading9">
    <w:name w:val="heading 9"/>
    <w:basedOn w:val="Normal"/>
    <w:next w:val="Normal"/>
    <w:link w:val="Heading9Char"/>
    <w:qFormat/>
    <w:rsid w:val="003B5457"/>
    <w:pPr>
      <w:ind w:left="720"/>
      <w:outlineLvl w:val="8"/>
    </w:pPr>
    <w:rPr>
      <w:i/>
    </w:rPr>
  </w:style>
  <w:style w:type="character" w:default="1" w:styleId="DefaultParagraphFont">
    <w:name w:val="Default Paragraph Font"/>
    <w:uiPriority w:val="1"/>
    <w:unhideWhenUsed/>
    <w:rsid w:val="003B5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457"/>
  </w:style>
  <w:style w:type="character" w:customStyle="1" w:styleId="Heading1Char">
    <w:name w:val="Heading 1 Char"/>
    <w:basedOn w:val="DefaultParagraphFont"/>
    <w:link w:val="Heading1"/>
    <w:rsid w:val="003B5457"/>
    <w:rPr>
      <w:rFonts w:ascii="Times New Roman" w:eastAsia="Times New Roman" w:hAnsi="Times New Roman" w:cs="Times New Roman"/>
      <w:b/>
      <w:sz w:val="32"/>
      <w:szCs w:val="20"/>
      <w:lang w:eastAsia="en-US"/>
    </w:rPr>
  </w:style>
  <w:style w:type="paragraph" w:styleId="BodyText">
    <w:name w:val="Body Text"/>
    <w:basedOn w:val="Normal"/>
    <w:link w:val="BodyTextChar"/>
    <w:rsid w:val="003B5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457"/>
    <w:rPr>
      <w:rFonts w:ascii="Times New Roman" w:eastAsia="Times New Roman" w:hAnsi="Times New Roman" w:cs="Times New Roman"/>
      <w:sz w:val="24"/>
      <w:lang w:eastAsia="en-US"/>
    </w:rPr>
  </w:style>
  <w:style w:type="paragraph" w:styleId="ListBullet">
    <w:name w:val="List Bullet"/>
    <w:basedOn w:val="List"/>
    <w:rsid w:val="003B5457"/>
    <w:pPr>
      <w:numPr>
        <w:numId w:val="11"/>
      </w:numPr>
      <w:tabs>
        <w:tab w:val="clear" w:pos="340"/>
      </w:tabs>
      <w:spacing w:before="40" w:after="40"/>
    </w:pPr>
  </w:style>
  <w:style w:type="character" w:customStyle="1" w:styleId="SpecialBold">
    <w:name w:val="Special Bold"/>
    <w:basedOn w:val="DefaultParagraphFont"/>
    <w:rsid w:val="003B5457"/>
    <w:rPr>
      <w:b/>
      <w:spacing w:val="0"/>
    </w:rPr>
  </w:style>
  <w:style w:type="paragraph" w:customStyle="1" w:styleId="SuperHeading">
    <w:name w:val="SuperHeading"/>
    <w:basedOn w:val="Normal"/>
    <w:rsid w:val="003B5457"/>
    <w:pPr>
      <w:spacing w:before="240" w:after="120"/>
      <w:outlineLvl w:val="0"/>
    </w:pPr>
    <w:rPr>
      <w:rFonts w:ascii="Times New Roman" w:hAnsi="Times New Roman"/>
      <w:b/>
      <w:sz w:val="32"/>
    </w:rPr>
  </w:style>
  <w:style w:type="paragraph" w:customStyle="1" w:styleId="AllowPageBreak">
    <w:name w:val="AllowPageBreak"/>
    <w:rsid w:val="003B54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5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457"/>
    <w:rPr>
      <w:rFonts w:ascii="Courier New" w:eastAsia="Times New Roman" w:hAnsi="Courier New" w:cs="Times New Roman"/>
      <w:i/>
      <w:szCs w:val="20"/>
      <w:lang w:eastAsia="en-US"/>
    </w:rPr>
  </w:style>
  <w:style w:type="paragraph" w:customStyle="1" w:styleId="HeadingBase">
    <w:name w:val="Heading Base"/>
    <w:rsid w:val="003B5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457"/>
    <w:pPr>
      <w:tabs>
        <w:tab w:val="right" w:leader="dot" w:pos="9072"/>
      </w:tabs>
      <w:ind w:left="567"/>
    </w:pPr>
    <w:rPr>
      <w:szCs w:val="22"/>
    </w:rPr>
  </w:style>
  <w:style w:type="paragraph" w:customStyle="1" w:styleId="TOCBase">
    <w:name w:val="TOC Base"/>
    <w:rsid w:val="003B5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457"/>
    <w:pPr>
      <w:tabs>
        <w:tab w:val="right" w:leader="dot" w:pos="9072"/>
      </w:tabs>
      <w:spacing w:before="40" w:after="40"/>
      <w:ind w:left="284"/>
    </w:pPr>
    <w:rPr>
      <w:rFonts w:ascii="Times New Roman" w:hAnsi="Times New Roman"/>
    </w:rPr>
  </w:style>
  <w:style w:type="paragraph" w:styleId="TOC1">
    <w:name w:val="toc 1"/>
    <w:basedOn w:val="TOCBase"/>
    <w:next w:val="Normal"/>
    <w:rsid w:val="003B5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457"/>
    <w:rPr>
      <w:rFonts w:ascii="Times New Roman" w:eastAsia="Times New Roman" w:hAnsi="Times New Roman" w:cs="Times New Roman"/>
      <w:sz w:val="16"/>
      <w:lang w:eastAsia="en-US"/>
    </w:rPr>
  </w:style>
  <w:style w:type="paragraph" w:styleId="Title">
    <w:name w:val="Title"/>
    <w:basedOn w:val="HeadingBase"/>
    <w:link w:val="TitleChar"/>
    <w:qFormat/>
    <w:rsid w:val="003B5457"/>
    <w:pPr>
      <w:spacing w:before="5040"/>
      <w:jc w:val="center"/>
    </w:pPr>
    <w:rPr>
      <w:sz w:val="48"/>
      <w:szCs w:val="72"/>
      <w:lang w:val="en-US"/>
    </w:rPr>
  </w:style>
  <w:style w:type="character" w:customStyle="1" w:styleId="TitleChar">
    <w:name w:val="Title Char"/>
    <w:basedOn w:val="DefaultParagraphFont"/>
    <w:link w:val="Title"/>
    <w:rsid w:val="003B5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457"/>
    <w:pPr>
      <w:tabs>
        <w:tab w:val="left" w:pos="3600"/>
        <w:tab w:val="left" w:pos="3958"/>
      </w:tabs>
    </w:pPr>
  </w:style>
  <w:style w:type="paragraph" w:styleId="List">
    <w:name w:val="List"/>
    <w:basedOn w:val="BodyText"/>
    <w:next w:val="BodyText"/>
    <w:rsid w:val="003B5457"/>
    <w:pPr>
      <w:tabs>
        <w:tab w:val="left" w:pos="340"/>
      </w:tabs>
      <w:spacing w:before="60" w:after="60"/>
      <w:ind w:left="340" w:hanging="340"/>
    </w:pPr>
  </w:style>
  <w:style w:type="paragraph" w:customStyle="1" w:styleId="Note">
    <w:name w:val="Note"/>
    <w:basedOn w:val="BodyText"/>
    <w:rsid w:val="003B5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457"/>
    <w:pPr>
      <w:framePr w:wrap="auto" w:hAnchor="text" w:y="6049"/>
    </w:pPr>
    <w:rPr>
      <w:color w:val="000000"/>
      <w:sz w:val="40"/>
    </w:rPr>
  </w:style>
  <w:style w:type="paragraph" w:customStyle="1" w:styleId="TOCTitle">
    <w:name w:val="TOCTitle"/>
    <w:basedOn w:val="Heading1"/>
    <w:rsid w:val="003B5457"/>
    <w:pPr>
      <w:spacing w:after="240"/>
      <w:jc w:val="center"/>
      <w:outlineLvl w:val="9"/>
    </w:pPr>
    <w:rPr>
      <w:caps/>
    </w:rPr>
  </w:style>
  <w:style w:type="paragraph" w:customStyle="1" w:styleId="Version">
    <w:name w:val="Version"/>
    <w:rsid w:val="003B54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457"/>
    <w:pPr>
      <w:numPr>
        <w:numId w:val="12"/>
      </w:numPr>
      <w:tabs>
        <w:tab w:val="clear" w:pos="680"/>
      </w:tabs>
    </w:pPr>
  </w:style>
  <w:style w:type="paragraph" w:styleId="Index1">
    <w:name w:val="index 1"/>
    <w:basedOn w:val="Normal"/>
    <w:next w:val="Normal"/>
    <w:semiHidden/>
    <w:rsid w:val="003B5457"/>
    <w:pPr>
      <w:keepNext w:val="0"/>
      <w:tabs>
        <w:tab w:val="right" w:pos="4176"/>
      </w:tabs>
      <w:ind w:left="198" w:hanging="198"/>
    </w:pPr>
    <w:rPr>
      <w:rFonts w:ascii="Garamond" w:hAnsi="Garamond"/>
    </w:rPr>
  </w:style>
  <w:style w:type="paragraph" w:styleId="IndexHeading">
    <w:name w:val="index heading"/>
    <w:basedOn w:val="Normal"/>
    <w:next w:val="Index1"/>
    <w:semiHidden/>
    <w:rsid w:val="003B5457"/>
    <w:pPr>
      <w:spacing w:before="120" w:after="120"/>
    </w:pPr>
    <w:rPr>
      <w:rFonts w:ascii="Arial" w:hAnsi="Arial"/>
      <w:b/>
      <w:color w:val="918585"/>
      <w:sz w:val="24"/>
    </w:rPr>
  </w:style>
  <w:style w:type="paragraph" w:styleId="Header">
    <w:name w:val="header"/>
    <w:basedOn w:val="Normal"/>
    <w:link w:val="HeaderChar"/>
    <w:rsid w:val="003B5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457"/>
    <w:rPr>
      <w:rFonts w:ascii="Times New Roman" w:eastAsia="Times New Roman" w:hAnsi="Times New Roman" w:cs="Times New Roman"/>
      <w:sz w:val="16"/>
      <w:szCs w:val="20"/>
      <w:lang w:val="en-GB" w:eastAsia="en-US"/>
    </w:rPr>
  </w:style>
  <w:style w:type="paragraph" w:customStyle="1" w:styleId="Chapter">
    <w:name w:val="Chapter"/>
    <w:basedOn w:val="Normal"/>
    <w:rsid w:val="003B5457"/>
    <w:pPr>
      <w:spacing w:before="240"/>
    </w:pPr>
    <w:rPr>
      <w:rFonts w:ascii="Times New Roman" w:hAnsi="Times New Roman"/>
      <w:smallCaps/>
      <w:spacing w:val="80"/>
      <w:sz w:val="28"/>
    </w:rPr>
  </w:style>
  <w:style w:type="paragraph" w:customStyle="1" w:styleId="InChapter">
    <w:name w:val="InChapter"/>
    <w:basedOn w:val="Heading3"/>
    <w:rsid w:val="003B5457"/>
    <w:pPr>
      <w:spacing w:after="240"/>
      <w:outlineLvl w:val="9"/>
    </w:pPr>
    <w:rPr>
      <w:noProof/>
    </w:rPr>
  </w:style>
  <w:style w:type="paragraph" w:styleId="Index2">
    <w:name w:val="index 2"/>
    <w:basedOn w:val="Normal"/>
    <w:next w:val="Normal"/>
    <w:semiHidden/>
    <w:rsid w:val="003B5457"/>
    <w:pPr>
      <w:tabs>
        <w:tab w:val="right" w:pos="4176"/>
      </w:tabs>
      <w:ind w:left="568" w:hanging="284"/>
    </w:pPr>
    <w:rPr>
      <w:rFonts w:ascii="Garamond" w:hAnsi="Garamond"/>
    </w:rPr>
  </w:style>
  <w:style w:type="paragraph" w:customStyle="1" w:styleId="Byline">
    <w:name w:val="Byline"/>
    <w:rsid w:val="003B5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457"/>
    <w:pPr>
      <w:tabs>
        <w:tab w:val="clear" w:pos="3600"/>
        <w:tab w:val="clear" w:pos="3958"/>
      </w:tabs>
      <w:jc w:val="right"/>
    </w:pPr>
  </w:style>
  <w:style w:type="character" w:styleId="Emphasis">
    <w:name w:val="Emphasis"/>
    <w:basedOn w:val="DefaultParagraphFont"/>
    <w:qFormat/>
    <w:rsid w:val="003B5457"/>
    <w:rPr>
      <w:i/>
    </w:rPr>
  </w:style>
  <w:style w:type="paragraph" w:styleId="Caption">
    <w:name w:val="caption"/>
    <w:basedOn w:val="BodyText"/>
    <w:next w:val="Normal"/>
    <w:qFormat/>
    <w:rsid w:val="003B5457"/>
    <w:pPr>
      <w:framePr w:w="2268" w:hSpace="181" w:vSpace="181" w:wrap="around" w:vAnchor="text" w:hAnchor="page" w:x="1135" w:y="285" w:anchorLock="1"/>
    </w:pPr>
    <w:rPr>
      <w:i/>
    </w:rPr>
  </w:style>
  <w:style w:type="paragraph" w:customStyle="1" w:styleId="MiniTOCTitle">
    <w:name w:val="MiniTOCTitle"/>
    <w:basedOn w:val="Heading4"/>
    <w:rsid w:val="003B5457"/>
    <w:pPr>
      <w:spacing w:before="240"/>
      <w:outlineLvl w:val="9"/>
    </w:pPr>
    <w:rPr>
      <w:noProof/>
      <w:sz w:val="24"/>
    </w:rPr>
  </w:style>
  <w:style w:type="paragraph" w:customStyle="1" w:styleId="MiniTOCItem">
    <w:name w:val="MiniTOCItem"/>
    <w:basedOn w:val="ListBullet"/>
    <w:rsid w:val="003B5457"/>
    <w:pPr>
      <w:numPr>
        <w:numId w:val="0"/>
      </w:numPr>
      <w:tabs>
        <w:tab w:val="right" w:leader="dot" w:pos="6521"/>
      </w:tabs>
      <w:spacing w:before="0" w:after="0"/>
    </w:pPr>
  </w:style>
  <w:style w:type="paragraph" w:customStyle="1" w:styleId="TOFTitle">
    <w:name w:val="TOFTitle"/>
    <w:basedOn w:val="TOCTitle"/>
    <w:rsid w:val="003B5457"/>
  </w:style>
  <w:style w:type="paragraph" w:styleId="TableofFigures">
    <w:name w:val="table of figures"/>
    <w:basedOn w:val="Normal"/>
    <w:next w:val="Normal"/>
    <w:semiHidden/>
    <w:rsid w:val="003B5457"/>
    <w:pPr>
      <w:tabs>
        <w:tab w:val="right" w:leader="dot" w:pos="9072"/>
      </w:tabs>
      <w:ind w:left="970" w:hanging="403"/>
    </w:pPr>
    <w:rPr>
      <w:rFonts w:ascii="Times New Roman" w:hAnsi="Times New Roman"/>
      <w:b/>
    </w:rPr>
  </w:style>
  <w:style w:type="paragraph" w:styleId="ListNumber">
    <w:name w:val="List Number"/>
    <w:basedOn w:val="List"/>
    <w:rsid w:val="003B5457"/>
    <w:pPr>
      <w:numPr>
        <w:numId w:val="14"/>
      </w:numPr>
      <w:tabs>
        <w:tab w:val="clear" w:pos="340"/>
      </w:tabs>
    </w:pPr>
  </w:style>
  <w:style w:type="character" w:customStyle="1" w:styleId="WingdingSymbols">
    <w:name w:val="Wingding Symbols"/>
    <w:rsid w:val="003B5457"/>
    <w:rPr>
      <w:rFonts w:ascii="Wingdings" w:hAnsi="Wingdings"/>
    </w:rPr>
  </w:style>
  <w:style w:type="paragraph" w:customStyle="1" w:styleId="TableHeading">
    <w:name w:val="Table Heading"/>
    <w:basedOn w:val="HeadingBase"/>
    <w:rsid w:val="003B5457"/>
    <w:pPr>
      <w:keepLines/>
      <w:pBdr>
        <w:bottom w:val="single" w:sz="6" w:space="1" w:color="918585"/>
      </w:pBdr>
      <w:spacing w:before="240"/>
    </w:pPr>
  </w:style>
  <w:style w:type="character" w:customStyle="1" w:styleId="HotSpot">
    <w:name w:val="HotSpot"/>
    <w:rsid w:val="003B5457"/>
    <w:rPr>
      <w:color w:val="0033CC"/>
      <w:u w:val="none"/>
    </w:rPr>
  </w:style>
  <w:style w:type="paragraph" w:customStyle="1" w:styleId="BodyTextRight">
    <w:name w:val="Body Text Right"/>
    <w:basedOn w:val="BodyText"/>
    <w:rsid w:val="003B5457"/>
    <w:pPr>
      <w:spacing w:before="0" w:after="0"/>
      <w:jc w:val="right"/>
    </w:pPr>
  </w:style>
  <w:style w:type="paragraph" w:styleId="Index3">
    <w:name w:val="index 3"/>
    <w:basedOn w:val="ListNumber2"/>
    <w:next w:val="Normal"/>
    <w:semiHidden/>
    <w:rsid w:val="003B5457"/>
    <w:pPr>
      <w:numPr>
        <w:numId w:val="0"/>
      </w:numPr>
      <w:tabs>
        <w:tab w:val="right" w:leader="dot" w:pos="4176"/>
      </w:tabs>
    </w:pPr>
  </w:style>
  <w:style w:type="paragraph" w:styleId="ListNumber2">
    <w:name w:val="List Number 2"/>
    <w:basedOn w:val="List2"/>
    <w:rsid w:val="003B5457"/>
    <w:pPr>
      <w:numPr>
        <w:numId w:val="9"/>
      </w:numPr>
      <w:tabs>
        <w:tab w:val="clear" w:pos="1060"/>
      </w:tabs>
    </w:pPr>
  </w:style>
  <w:style w:type="paragraph" w:customStyle="1" w:styleId="MarginNote">
    <w:name w:val="Margin Note"/>
    <w:basedOn w:val="BodyText"/>
    <w:rsid w:val="003B5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457"/>
    <w:rPr>
      <w:sz w:val="32"/>
    </w:rPr>
  </w:style>
  <w:style w:type="paragraph" w:customStyle="1" w:styleId="HeadingProcedure">
    <w:name w:val="Heading Procedure"/>
    <w:basedOn w:val="HeadingBase"/>
    <w:next w:val="Normal"/>
    <w:rsid w:val="003B5457"/>
    <w:pPr>
      <w:tabs>
        <w:tab w:val="left" w:pos="0"/>
      </w:tabs>
      <w:spacing w:before="120" w:after="60"/>
    </w:pPr>
    <w:rPr>
      <w:i/>
      <w:color w:val="918585"/>
      <w:sz w:val="22"/>
    </w:rPr>
  </w:style>
  <w:style w:type="paragraph" w:customStyle="1" w:styleId="TableBodyText">
    <w:name w:val="Table Body Text"/>
    <w:basedOn w:val="BodyText"/>
    <w:rsid w:val="003B5457"/>
    <w:pPr>
      <w:spacing w:before="60" w:after="60"/>
    </w:pPr>
  </w:style>
  <w:style w:type="paragraph" w:styleId="ListContinue">
    <w:name w:val="List Continue"/>
    <w:basedOn w:val="List"/>
    <w:rsid w:val="003B5457"/>
    <w:pPr>
      <w:ind w:firstLine="0"/>
    </w:pPr>
  </w:style>
  <w:style w:type="paragraph" w:customStyle="1" w:styleId="ListNote">
    <w:name w:val="List Note"/>
    <w:basedOn w:val="List"/>
    <w:rsid w:val="003B5457"/>
    <w:pPr>
      <w:pBdr>
        <w:top w:val="single" w:sz="6" w:space="2" w:color="918585"/>
        <w:bottom w:val="single" w:sz="6" w:space="2" w:color="918585"/>
      </w:pBdr>
      <w:tabs>
        <w:tab w:val="left" w:pos="1021"/>
      </w:tabs>
      <w:ind w:firstLine="0"/>
    </w:pPr>
  </w:style>
  <w:style w:type="paragraph" w:customStyle="1" w:styleId="Warning">
    <w:name w:val="Warning"/>
    <w:basedOn w:val="BodyText"/>
    <w:rsid w:val="003B5457"/>
    <w:pPr>
      <w:shd w:val="clear" w:color="auto" w:fill="D9D9D9"/>
      <w:tabs>
        <w:tab w:val="left" w:pos="992"/>
      </w:tabs>
      <w:ind w:left="119" w:right="119"/>
    </w:pPr>
    <w:rPr>
      <w:sz w:val="20"/>
    </w:rPr>
  </w:style>
  <w:style w:type="paragraph" w:customStyle="1" w:styleId="MarginIcons">
    <w:name w:val="Margin Icons"/>
    <w:basedOn w:val="BodyText"/>
    <w:rsid w:val="003B5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457"/>
    <w:rPr>
      <w:rFonts w:ascii="Courier New" w:hAnsi="Courier New"/>
    </w:rPr>
  </w:style>
  <w:style w:type="paragraph" w:customStyle="1" w:styleId="NoteBullet">
    <w:name w:val="Note Bullet"/>
    <w:basedOn w:val="Note"/>
    <w:rsid w:val="003B5457"/>
    <w:pPr>
      <w:tabs>
        <w:tab w:val="clear" w:pos="680"/>
      </w:tabs>
      <w:spacing w:before="60" w:after="60"/>
    </w:pPr>
  </w:style>
  <w:style w:type="paragraph" w:customStyle="1" w:styleId="SubHeading2">
    <w:name w:val="SubHeading2"/>
    <w:basedOn w:val="HeadingBase"/>
    <w:rsid w:val="003B5457"/>
    <w:pPr>
      <w:spacing w:before="240" w:after="60"/>
    </w:pPr>
    <w:rPr>
      <w:sz w:val="20"/>
    </w:rPr>
  </w:style>
  <w:style w:type="paragraph" w:customStyle="1" w:styleId="SubHeading1">
    <w:name w:val="SubHeading1"/>
    <w:basedOn w:val="HeadingBase"/>
    <w:rsid w:val="003B5457"/>
    <w:pPr>
      <w:spacing w:before="240" w:after="60"/>
    </w:pPr>
    <w:rPr>
      <w:color w:val="918585"/>
      <w:sz w:val="22"/>
    </w:rPr>
  </w:style>
  <w:style w:type="paragraph" w:customStyle="1" w:styleId="SideHeading">
    <w:name w:val="Side Heading"/>
    <w:basedOn w:val="HeadingBase"/>
    <w:rsid w:val="003B5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457"/>
    <w:pPr>
      <w:numPr>
        <w:numId w:val="10"/>
      </w:numPr>
    </w:pPr>
  </w:style>
  <w:style w:type="paragraph" w:styleId="PlainText">
    <w:name w:val="Plain Text"/>
    <w:basedOn w:val="Normal"/>
    <w:link w:val="PlainTextChar"/>
    <w:rsid w:val="003B5457"/>
    <w:rPr>
      <w:sz w:val="20"/>
    </w:rPr>
  </w:style>
  <w:style w:type="character" w:customStyle="1" w:styleId="PlainTextChar">
    <w:name w:val="Plain Text Char"/>
    <w:basedOn w:val="DefaultParagraphFont"/>
    <w:link w:val="PlainText"/>
    <w:rsid w:val="003B5457"/>
    <w:rPr>
      <w:rFonts w:ascii="Courier New" w:eastAsia="Times New Roman" w:hAnsi="Courier New" w:cs="Times New Roman"/>
      <w:sz w:val="20"/>
      <w:szCs w:val="20"/>
      <w:lang w:eastAsia="en-US"/>
    </w:rPr>
  </w:style>
  <w:style w:type="character" w:customStyle="1" w:styleId="MenuOption">
    <w:name w:val="Menu Option"/>
    <w:basedOn w:val="DefaultParagraphFont"/>
    <w:rsid w:val="003B5457"/>
    <w:rPr>
      <w:b/>
      <w:smallCaps/>
    </w:rPr>
  </w:style>
  <w:style w:type="paragraph" w:customStyle="1" w:styleId="TableListNumber">
    <w:name w:val="Table List Number"/>
    <w:basedOn w:val="ListNumber"/>
    <w:rsid w:val="003B5457"/>
    <w:pPr>
      <w:numPr>
        <w:numId w:val="0"/>
      </w:numPr>
    </w:pPr>
  </w:style>
  <w:style w:type="paragraph" w:styleId="TOC4">
    <w:name w:val="toc 4"/>
    <w:basedOn w:val="TOCBase"/>
    <w:next w:val="Normal"/>
    <w:semiHidden/>
    <w:rsid w:val="003B5457"/>
    <w:pPr>
      <w:tabs>
        <w:tab w:val="right" w:leader="dot" w:pos="9071"/>
      </w:tabs>
      <w:ind w:left="1701"/>
    </w:pPr>
  </w:style>
  <w:style w:type="paragraph" w:customStyle="1" w:styleId="ListAlpha">
    <w:name w:val="List Alpha"/>
    <w:basedOn w:val="List"/>
    <w:rsid w:val="003B5457"/>
    <w:pPr>
      <w:numPr>
        <w:numId w:val="8"/>
      </w:numPr>
    </w:pPr>
  </w:style>
  <w:style w:type="paragraph" w:customStyle="1" w:styleId="ListAlpha2">
    <w:name w:val="List Alpha 2"/>
    <w:basedOn w:val="List2"/>
    <w:rsid w:val="003B5457"/>
    <w:pPr>
      <w:numPr>
        <w:numId w:val="7"/>
      </w:numPr>
    </w:pPr>
  </w:style>
  <w:style w:type="paragraph" w:styleId="List2">
    <w:name w:val="List 2"/>
    <w:basedOn w:val="BodyText"/>
    <w:rsid w:val="003B5457"/>
    <w:pPr>
      <w:tabs>
        <w:tab w:val="left" w:pos="680"/>
      </w:tabs>
      <w:spacing w:before="60" w:after="60"/>
      <w:ind w:left="680" w:hanging="340"/>
    </w:pPr>
  </w:style>
  <w:style w:type="paragraph" w:styleId="List3">
    <w:name w:val="List 3"/>
    <w:basedOn w:val="BodyText"/>
    <w:rsid w:val="003B5457"/>
    <w:pPr>
      <w:tabs>
        <w:tab w:val="left" w:pos="1021"/>
      </w:tabs>
      <w:spacing w:before="60" w:after="60"/>
      <w:ind w:left="1020" w:hanging="340"/>
    </w:pPr>
  </w:style>
  <w:style w:type="paragraph" w:styleId="List4">
    <w:name w:val="List 4"/>
    <w:basedOn w:val="BodyText"/>
    <w:rsid w:val="003B5457"/>
    <w:pPr>
      <w:tabs>
        <w:tab w:val="left" w:pos="1361"/>
      </w:tabs>
      <w:spacing w:before="60" w:after="60"/>
      <w:ind w:left="1361" w:hanging="340"/>
    </w:pPr>
  </w:style>
  <w:style w:type="paragraph" w:styleId="List5">
    <w:name w:val="List 5"/>
    <w:basedOn w:val="BodyText"/>
    <w:rsid w:val="003B5457"/>
    <w:pPr>
      <w:tabs>
        <w:tab w:val="left" w:pos="1701"/>
      </w:tabs>
      <w:spacing w:before="60" w:after="60"/>
      <w:ind w:left="1701" w:hanging="340"/>
    </w:pPr>
  </w:style>
  <w:style w:type="paragraph" w:styleId="ListBullet3">
    <w:name w:val="List Bullet 3"/>
    <w:basedOn w:val="List3"/>
    <w:rsid w:val="003B5457"/>
    <w:pPr>
      <w:numPr>
        <w:numId w:val="13"/>
      </w:numPr>
      <w:tabs>
        <w:tab w:val="clear" w:pos="1021"/>
      </w:tabs>
      <w:ind w:left="1037" w:hanging="357"/>
    </w:pPr>
  </w:style>
  <w:style w:type="paragraph" w:styleId="ListBullet4">
    <w:name w:val="List Bullet 4"/>
    <w:basedOn w:val="List4"/>
    <w:rsid w:val="003B5457"/>
    <w:pPr>
      <w:numPr>
        <w:numId w:val="2"/>
      </w:numPr>
      <w:tabs>
        <w:tab w:val="clear" w:pos="1361"/>
      </w:tabs>
    </w:pPr>
  </w:style>
  <w:style w:type="paragraph" w:styleId="ListBullet5">
    <w:name w:val="List Bullet 5"/>
    <w:basedOn w:val="List5"/>
    <w:rsid w:val="003B5457"/>
    <w:pPr>
      <w:numPr>
        <w:numId w:val="3"/>
      </w:numPr>
    </w:pPr>
  </w:style>
  <w:style w:type="paragraph" w:styleId="ListContinue2">
    <w:name w:val="List Continue 2"/>
    <w:basedOn w:val="List2"/>
    <w:rsid w:val="003B5457"/>
    <w:pPr>
      <w:ind w:firstLine="0"/>
    </w:pPr>
  </w:style>
  <w:style w:type="paragraph" w:styleId="ListContinue3">
    <w:name w:val="List Continue 3"/>
    <w:basedOn w:val="List3"/>
    <w:rsid w:val="003B5457"/>
    <w:pPr>
      <w:ind w:left="1021" w:firstLine="0"/>
    </w:pPr>
  </w:style>
  <w:style w:type="paragraph" w:styleId="ListContinue4">
    <w:name w:val="List Continue 4"/>
    <w:basedOn w:val="List4"/>
    <w:rsid w:val="003B5457"/>
    <w:pPr>
      <w:ind w:firstLine="0"/>
    </w:pPr>
  </w:style>
  <w:style w:type="paragraph" w:styleId="ListContinue5">
    <w:name w:val="List Continue 5"/>
    <w:basedOn w:val="List5"/>
    <w:rsid w:val="003B5457"/>
    <w:pPr>
      <w:ind w:firstLine="0"/>
    </w:pPr>
  </w:style>
  <w:style w:type="paragraph" w:styleId="ListNumber3">
    <w:name w:val="List Number 3"/>
    <w:basedOn w:val="List3"/>
    <w:rsid w:val="003B5457"/>
    <w:pPr>
      <w:numPr>
        <w:numId w:val="4"/>
      </w:numPr>
    </w:pPr>
  </w:style>
  <w:style w:type="paragraph" w:styleId="ListNumber4">
    <w:name w:val="List Number 4"/>
    <w:basedOn w:val="List4"/>
    <w:rsid w:val="003B5457"/>
    <w:pPr>
      <w:numPr>
        <w:numId w:val="5"/>
      </w:numPr>
    </w:pPr>
  </w:style>
  <w:style w:type="paragraph" w:styleId="ListNumber5">
    <w:name w:val="List Number 5"/>
    <w:basedOn w:val="List5"/>
    <w:rsid w:val="003B5457"/>
    <w:pPr>
      <w:numPr>
        <w:numId w:val="6"/>
      </w:numPr>
    </w:pPr>
  </w:style>
  <w:style w:type="paragraph" w:styleId="BlockText">
    <w:name w:val="Block Text"/>
    <w:basedOn w:val="Normal"/>
    <w:rsid w:val="003B5457"/>
    <w:pPr>
      <w:spacing w:after="120"/>
      <w:ind w:left="1440" w:right="1440"/>
    </w:pPr>
  </w:style>
  <w:style w:type="character" w:customStyle="1" w:styleId="Subscript">
    <w:name w:val="Subscript"/>
    <w:basedOn w:val="DefaultParagraphFont"/>
    <w:rsid w:val="003B5457"/>
    <w:rPr>
      <w:sz w:val="16"/>
      <w:vertAlign w:val="subscript"/>
    </w:rPr>
  </w:style>
  <w:style w:type="character" w:customStyle="1" w:styleId="Superscript">
    <w:name w:val="Superscript"/>
    <w:basedOn w:val="DefaultParagraphFont"/>
    <w:rsid w:val="003B5457"/>
    <w:rPr>
      <w:sz w:val="16"/>
      <w:vertAlign w:val="superscript"/>
    </w:rPr>
  </w:style>
  <w:style w:type="character" w:customStyle="1" w:styleId="Symbols">
    <w:name w:val="Symbols"/>
    <w:basedOn w:val="DefaultParagraphFont"/>
    <w:rsid w:val="003B5457"/>
    <w:rPr>
      <w:rFonts w:ascii="Symbol" w:hAnsi="Symbol"/>
    </w:rPr>
  </w:style>
  <w:style w:type="character" w:customStyle="1" w:styleId="MenuOptions">
    <w:name w:val="Menu Options"/>
    <w:basedOn w:val="DefaultParagraphFont"/>
    <w:rsid w:val="003B5457"/>
    <w:rPr>
      <w:rFonts w:ascii="Arial Narrow" w:hAnsi="Arial Narrow"/>
      <w:smallCaps/>
    </w:rPr>
  </w:style>
  <w:style w:type="character" w:customStyle="1" w:styleId="Buttons">
    <w:name w:val="Buttons"/>
    <w:basedOn w:val="DefaultParagraphFont"/>
    <w:rsid w:val="003B5457"/>
    <w:rPr>
      <w:b/>
    </w:rPr>
  </w:style>
  <w:style w:type="character" w:customStyle="1" w:styleId="Underlined">
    <w:name w:val="Underlined"/>
    <w:basedOn w:val="DefaultParagraphFont"/>
    <w:rsid w:val="003B5457"/>
    <w:rPr>
      <w:u w:val="single"/>
    </w:rPr>
  </w:style>
  <w:style w:type="paragraph" w:customStyle="1" w:styleId="TableBodyTextRight">
    <w:name w:val="Table Body Text Right"/>
    <w:basedOn w:val="TableBodyText"/>
    <w:rsid w:val="003B5457"/>
    <w:pPr>
      <w:widowControl w:val="0"/>
      <w:autoSpaceDE w:val="0"/>
      <w:autoSpaceDN w:val="0"/>
      <w:adjustRightInd w:val="0"/>
      <w:jc w:val="right"/>
    </w:pPr>
    <w:rPr>
      <w:rFonts w:cs="Arial"/>
      <w:szCs w:val="18"/>
    </w:rPr>
  </w:style>
  <w:style w:type="paragraph" w:customStyle="1" w:styleId="CopyrightText">
    <w:name w:val="Copyright Text"/>
    <w:basedOn w:val="BodyText"/>
    <w:rsid w:val="003B5457"/>
    <w:rPr>
      <w:sz w:val="18"/>
    </w:rPr>
  </w:style>
  <w:style w:type="paragraph" w:customStyle="1" w:styleId="BodySmallRight">
    <w:name w:val="Body Small Right"/>
    <w:basedOn w:val="BodyTextRight"/>
    <w:rsid w:val="003B5457"/>
    <w:rPr>
      <w:sz w:val="18"/>
      <w:szCs w:val="18"/>
    </w:rPr>
  </w:style>
  <w:style w:type="paragraph" w:customStyle="1" w:styleId="MarginEdition">
    <w:name w:val="Margin Edition"/>
    <w:basedOn w:val="MarginNote"/>
    <w:rsid w:val="003B5457"/>
    <w:pPr>
      <w:spacing w:before="0" w:after="0"/>
    </w:pPr>
    <w:rPr>
      <w:rFonts w:ascii="Times New Roman" w:hAnsi="Times New Roman"/>
      <w:color w:val="999999"/>
    </w:rPr>
  </w:style>
  <w:style w:type="paragraph" w:customStyle="1" w:styleId="Spacer">
    <w:name w:val="Spacer"/>
    <w:basedOn w:val="Normal"/>
    <w:rsid w:val="003B5457"/>
    <w:rPr>
      <w:sz w:val="2"/>
      <w:szCs w:val="2"/>
    </w:rPr>
  </w:style>
  <w:style w:type="character" w:customStyle="1" w:styleId="Small">
    <w:name w:val="Small"/>
    <w:basedOn w:val="DefaultParagraphFont"/>
    <w:rsid w:val="003B5457"/>
    <w:rPr>
      <w:sz w:val="16"/>
    </w:rPr>
  </w:style>
  <w:style w:type="paragraph" w:customStyle="1" w:styleId="WideTable">
    <w:name w:val="Wide Table"/>
    <w:basedOn w:val="Normal"/>
    <w:rsid w:val="003B5457"/>
    <w:pPr>
      <w:ind w:left="-1418"/>
    </w:pPr>
    <w:rPr>
      <w:sz w:val="2"/>
      <w:szCs w:val="2"/>
    </w:rPr>
  </w:style>
  <w:style w:type="character" w:styleId="PageNumber">
    <w:name w:val="page number"/>
    <w:basedOn w:val="DefaultParagraphFont"/>
    <w:rsid w:val="003B5457"/>
  </w:style>
  <w:style w:type="paragraph" w:styleId="Quote">
    <w:name w:val="Quote"/>
    <w:basedOn w:val="Heading1"/>
    <w:link w:val="QuoteChar"/>
    <w:qFormat/>
    <w:rsid w:val="003B5457"/>
    <w:rPr>
      <w:b w:val="0"/>
      <w:sz w:val="72"/>
      <w:szCs w:val="72"/>
      <w:lang w:val="en-NZ"/>
    </w:rPr>
  </w:style>
  <w:style w:type="character" w:customStyle="1" w:styleId="QuoteChar">
    <w:name w:val="Quote Char"/>
    <w:basedOn w:val="DefaultParagraphFont"/>
    <w:link w:val="Quote"/>
    <w:rsid w:val="003B5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457"/>
    <w:pPr>
      <w:pageBreakBefore/>
    </w:pPr>
  </w:style>
  <w:style w:type="paragraph" w:customStyle="1" w:styleId="Border">
    <w:name w:val="Border"/>
    <w:basedOn w:val="Normal"/>
    <w:qFormat/>
    <w:rsid w:val="003B5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457"/>
    <w:rPr>
      <w:b/>
      <w:bCs/>
      <w:i/>
      <w:iCs/>
      <w:color w:val="auto"/>
    </w:rPr>
  </w:style>
  <w:style w:type="paragraph" w:styleId="IntenseQuote">
    <w:name w:val="Intense Quote"/>
    <w:basedOn w:val="Normal"/>
    <w:next w:val="Normal"/>
    <w:link w:val="IntenseQuoteChar"/>
    <w:uiPriority w:val="30"/>
    <w:qFormat/>
    <w:rsid w:val="003B5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457"/>
    <w:rPr>
      <w:smallCaps/>
      <w:color w:val="auto"/>
      <w:u w:val="single"/>
    </w:rPr>
  </w:style>
  <w:style w:type="character" w:styleId="IntenseReference">
    <w:name w:val="Intense Reference"/>
    <w:basedOn w:val="DefaultParagraphFont"/>
    <w:uiPriority w:val="32"/>
    <w:qFormat/>
    <w:rsid w:val="003B5457"/>
    <w:rPr>
      <w:b/>
      <w:bCs/>
      <w:smallCaps/>
      <w:color w:val="auto"/>
      <w:spacing w:val="5"/>
      <w:u w:val="single"/>
    </w:rPr>
  </w:style>
  <w:style w:type="paragraph" w:customStyle="1" w:styleId="2ColumnHeading">
    <w:name w:val="2Column Heading"/>
    <w:basedOn w:val="BodyText"/>
    <w:qFormat/>
    <w:rsid w:val="003B5457"/>
    <w:pPr>
      <w:spacing w:after="60"/>
      <w:ind w:left="-2268"/>
    </w:pPr>
    <w:rPr>
      <w:b/>
    </w:rPr>
  </w:style>
  <w:style w:type="paragraph" w:customStyle="1" w:styleId="Heading1TOC">
    <w:name w:val="Heading1 TOC"/>
    <w:basedOn w:val="Normal"/>
    <w:qFormat/>
    <w:rsid w:val="003B5457"/>
    <w:pPr>
      <w:spacing w:before="240" w:after="120"/>
    </w:pPr>
    <w:rPr>
      <w:rFonts w:ascii="Times New Roman" w:hAnsi="Times New Roman"/>
      <w:b/>
      <w:sz w:val="32"/>
    </w:rPr>
  </w:style>
  <w:style w:type="paragraph" w:customStyle="1" w:styleId="Heading2TOC">
    <w:name w:val="Heading2 TOC"/>
    <w:basedOn w:val="Normal"/>
    <w:qFormat/>
    <w:rsid w:val="003B5457"/>
    <w:pPr>
      <w:spacing w:before="240" w:after="60"/>
    </w:pPr>
    <w:rPr>
      <w:rFonts w:ascii="Times New Roman" w:hAnsi="Times New Roman"/>
      <w:b/>
      <w:sz w:val="28"/>
    </w:rPr>
  </w:style>
  <w:style w:type="character" w:customStyle="1" w:styleId="Underline">
    <w:name w:val="Underline"/>
    <w:basedOn w:val="DefaultParagraphFont"/>
    <w:qFormat/>
    <w:rsid w:val="003B5457"/>
    <w:rPr>
      <w:u w:val="single"/>
    </w:rPr>
  </w:style>
  <w:style w:type="character" w:customStyle="1" w:styleId="BoldandItalics">
    <w:name w:val="Bold and Italics"/>
    <w:qFormat/>
    <w:rsid w:val="003B5457"/>
    <w:rPr>
      <w:b/>
      <w:i/>
      <w:u w:val="none"/>
    </w:rPr>
  </w:style>
  <w:style w:type="paragraph" w:styleId="BalloonText">
    <w:name w:val="Balloon Text"/>
    <w:basedOn w:val="Normal"/>
    <w:link w:val="BalloonTextChar"/>
    <w:rsid w:val="003B5457"/>
    <w:rPr>
      <w:rFonts w:ascii="Tahoma" w:hAnsi="Tahoma" w:cs="Tahoma"/>
      <w:sz w:val="16"/>
      <w:szCs w:val="16"/>
    </w:rPr>
  </w:style>
  <w:style w:type="character" w:customStyle="1" w:styleId="BalloonTextChar">
    <w:name w:val="Balloon Text Char"/>
    <w:basedOn w:val="DefaultParagraphFont"/>
    <w:link w:val="BalloonText"/>
    <w:rsid w:val="003B5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457"/>
    <w:rPr>
      <w:b/>
      <w:color w:val="660033"/>
      <w:spacing w:val="0"/>
    </w:rPr>
  </w:style>
  <w:style w:type="paragraph" w:customStyle="1" w:styleId="Nameditemlist">
    <w:name w:val="Named item list"/>
    <w:basedOn w:val="BodyText"/>
    <w:qFormat/>
    <w:rsid w:val="003B5457"/>
    <w:pPr>
      <w:tabs>
        <w:tab w:val="left" w:pos="2835"/>
      </w:tabs>
      <w:ind w:left="2835" w:hanging="2835"/>
    </w:pPr>
  </w:style>
  <w:style w:type="paragraph" w:customStyle="1" w:styleId="BodyTextnopadding">
    <w:name w:val="Body Text no padding"/>
    <w:basedOn w:val="BodyText"/>
    <w:qFormat/>
    <w:rsid w:val="003B5457"/>
    <w:pPr>
      <w:spacing w:before="0" w:after="0"/>
    </w:pPr>
  </w:style>
  <w:style w:type="paragraph" w:customStyle="1" w:styleId="BodyTextBold">
    <w:name w:val="Body Text Bold"/>
    <w:basedOn w:val="BodyText"/>
    <w:qFormat/>
    <w:rsid w:val="003B5457"/>
    <w:rPr>
      <w:b/>
    </w:rPr>
  </w:style>
  <w:style w:type="character" w:styleId="Hyperlink">
    <w:name w:val="Hyperlink"/>
    <w:basedOn w:val="DefaultParagraphFont"/>
    <w:uiPriority w:val="99"/>
    <w:unhideWhenUsed/>
    <w:rsid w:val="00CD72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8661</Characters>
  <Application>Microsoft Office Word</Application>
  <DocSecurity>0</DocSecurity>
  <Lines>320</Lines>
  <Paragraphs>168</Paragraphs>
  <ScaleCrop>false</ScaleCrop>
  <Company>Author-it Software Corporation Ltd.</Company>
  <LinksUpToDate>false</LinksUpToDate>
  <CharactersWithSpaces>9761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PUARCV004 Apply person-centred approaches to recovery planning and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