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A7B" w:rsidP="00B55A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PUARCV003 Work in a recovery context</w:t>
      </w:r>
      <w:r>
        <w:fldChar w:fldCharType="end"/>
      </w:r>
    </w:p>
    <w:p w:rsidR="00B55A7B" w:rsidP="00B55A7B">
      <w:pPr>
        <w:pStyle w:val="Version"/>
        <w:sectPr w:rsidSect="001A79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795D" w:rsidP="001A795D">
      <w:pPr>
        <w:pStyle w:val="SuperHeading"/>
      </w:pPr>
      <w:r w:rsidRPr="001A795D">
        <w:t>PUARCV003 Work in a recovery context</w:t>
      </w:r>
    </w:p>
    <w:p w:rsidR="00000000" w:rsidRPr="001A795D" w:rsidP="001A795D">
      <w:pPr>
        <w:pStyle w:val="Heading1"/>
      </w:pPr>
      <w:bookmarkStart w:id="1" w:name="O_1235895"/>
      <w:bookmarkEnd w:id="1"/>
      <w:r w:rsidRPr="001A795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 w:rsidP="001A795D">
            <w:pPr>
              <w:pStyle w:val="BodyText"/>
            </w:pPr>
            <w:r w:rsidRPr="001A795D">
              <w:t>Release 1. This is the first release of this unit of competency in the PUA Public Safety Training Package.</w:t>
            </w:r>
          </w:p>
        </w:tc>
      </w:tr>
    </w:tbl>
    <w:p w:rsidR="00000000" w:rsidRPr="001A795D" w:rsidP="001A795D">
      <w:pPr>
        <w:pStyle w:val="NoPaddingFontSize1"/>
      </w:pPr>
    </w:p>
    <w:p w:rsidR="00000000" w:rsidRPr="001A795D" w:rsidP="001A795D">
      <w:pPr>
        <w:pStyle w:val="AllowPageBreak"/>
      </w:pPr>
    </w:p>
    <w:p w:rsidR="00000000" w:rsidRPr="001A795D" w:rsidP="001A795D">
      <w:pPr>
        <w:pStyle w:val="Heading1"/>
      </w:pPr>
      <w:bookmarkStart w:id="2" w:name="O_1235896"/>
      <w:bookmarkEnd w:id="2"/>
      <w:r w:rsidRPr="001A795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 w:rsidP="001A795D">
            <w:pPr>
              <w:pStyle w:val="BodyText"/>
            </w:pPr>
            <w:r w:rsidRPr="001A795D">
              <w:t>This unit of competency involves the skills and knowledge required to work with disaster-affect</w:t>
            </w:r>
            <w:r w:rsidRPr="001A795D">
              <w:t xml:space="preserve">ed individuals and communities as part of recovery. </w:t>
            </w:r>
          </w:p>
          <w:p w:rsidR="00000000" w:rsidRPr="001A795D" w:rsidP="001A795D">
            <w:pPr>
              <w:pStyle w:val="BodyText"/>
            </w:pPr>
            <w:r w:rsidRPr="001A795D">
              <w:t xml:space="preserve">This unit applies to personnel who are required to have an awareness of the principles of recovery as outlined in the Australian Institute for Disaster Resilience (AIDR) </w:t>
            </w:r>
            <w:r w:rsidRPr="001A795D">
              <w:rPr>
                <w:rStyle w:val="Emphasis"/>
              </w:rPr>
              <w:t xml:space="preserve">Community Recovery Handbook </w:t>
            </w:r>
            <w:r w:rsidRPr="001A795D">
              <w:t>(2018</w:t>
            </w:r>
            <w:r w:rsidRPr="001A795D">
              <w:t xml:space="preserve">). </w:t>
            </w:r>
          </w:p>
          <w:p w:rsidR="00000000" w:rsidRPr="001A795D" w:rsidP="001A795D">
            <w:pPr>
              <w:pStyle w:val="BodyText"/>
            </w:pPr>
            <w:r w:rsidRPr="001A795D">
              <w:t xml:space="preserve">This unit may also be useful for community members who may participate in recovery efforts as a result of a disaster that affects their community.  </w:t>
            </w:r>
          </w:p>
          <w:p w:rsidR="00000000" w:rsidRPr="001A795D" w:rsidP="001A795D">
            <w:pPr>
              <w:pStyle w:val="BodyText"/>
            </w:pPr>
            <w:r w:rsidRPr="001A795D">
              <w:t>It includes preparing to work in a recovery environment, confirming the context of recovery, applying t</w:t>
            </w:r>
            <w:r w:rsidRPr="001A795D">
              <w:t>he principles of disaster recovery, confirming recovery environments and supporting effective communication processes with disaster-affected individuals and communities.</w:t>
            </w:r>
          </w:p>
          <w:p w:rsidR="00000000" w:rsidRPr="001A795D" w:rsidP="001A795D">
            <w:pPr>
              <w:pStyle w:val="BodyText"/>
            </w:pPr>
            <w:r w:rsidRPr="001A795D">
              <w:t>This unit is not intended to assess performance of specific recovery roles. Recovery u</w:t>
            </w:r>
            <w:r w:rsidRPr="001A795D">
              <w:t>nits of competency within the PUA Public Safety Training Package cover the roles for recovery.</w:t>
            </w:r>
          </w:p>
          <w:p w:rsidR="00000000" w:rsidRPr="001A795D" w:rsidP="001A795D">
            <w:pPr>
              <w:pStyle w:val="BodyText"/>
            </w:pPr>
            <w:r w:rsidRPr="001A795D">
              <w:t>No licensing, legislative or certification requirements apply to this unit at the time of publication.</w:t>
            </w:r>
          </w:p>
        </w:tc>
      </w:tr>
    </w:tbl>
    <w:p w:rsidR="00000000" w:rsidRPr="001A795D" w:rsidP="001A795D">
      <w:pPr>
        <w:pStyle w:val="NoPaddingFontSize1"/>
      </w:pPr>
    </w:p>
    <w:p w:rsidR="00000000" w:rsidRPr="001A795D" w:rsidP="001A795D">
      <w:pPr>
        <w:pStyle w:val="AllowPageBreak"/>
      </w:pPr>
    </w:p>
    <w:p w:rsidR="00000000" w:rsidRPr="001A795D" w:rsidP="001A795D">
      <w:pPr>
        <w:pStyle w:val="Heading1"/>
      </w:pPr>
      <w:bookmarkStart w:id="3" w:name="O_1235897"/>
      <w:bookmarkEnd w:id="3"/>
      <w:r w:rsidRPr="001A795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 w:rsidP="001A795D">
            <w:pPr>
              <w:pStyle w:val="List"/>
            </w:pPr>
            <w:r w:rsidRPr="001A795D">
              <w:t>Not applicable.</w:t>
            </w:r>
          </w:p>
        </w:tc>
      </w:tr>
    </w:tbl>
    <w:p w:rsidR="00000000" w:rsidRPr="001A795D" w:rsidP="001A795D">
      <w:pPr>
        <w:pStyle w:val="NoPaddingFontSize1"/>
      </w:pPr>
    </w:p>
    <w:p w:rsidR="00000000" w:rsidRPr="001A795D" w:rsidP="001A795D">
      <w:pPr>
        <w:pStyle w:val="AllowPageBreak"/>
      </w:pPr>
    </w:p>
    <w:p w:rsidR="00000000" w:rsidRPr="001A795D" w:rsidP="001A795D">
      <w:pPr>
        <w:pStyle w:val="Heading1"/>
      </w:pPr>
      <w:bookmarkStart w:id="4" w:name="O_1235898"/>
      <w:bookmarkEnd w:id="4"/>
      <w:r w:rsidRPr="001A795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 w:rsidP="001A795D">
            <w:pPr>
              <w:pStyle w:val="List"/>
            </w:pPr>
            <w:r w:rsidRPr="001A795D">
              <w:t>Recovery.</w:t>
            </w:r>
          </w:p>
        </w:tc>
      </w:tr>
    </w:tbl>
    <w:p w:rsidR="00000000" w:rsidRPr="001A795D" w:rsidP="001A795D">
      <w:pPr>
        <w:pStyle w:val="NoPaddingFontSize1"/>
      </w:pPr>
    </w:p>
    <w:p w:rsidR="00000000" w:rsidRPr="001A795D" w:rsidP="001A795D">
      <w:pPr>
        <w:pStyle w:val="AllowPageBreak"/>
      </w:pPr>
    </w:p>
    <w:p w:rsidR="00000000" w:rsidRPr="001A795D" w:rsidP="001A795D">
      <w:pPr>
        <w:pStyle w:val="Heading1"/>
      </w:pPr>
      <w:bookmarkStart w:id="5" w:name="O_1235899"/>
      <w:bookmarkEnd w:id="5"/>
      <w:r w:rsidRPr="001A795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 w:rsidP="001A795D">
            <w:pPr>
              <w:pStyle w:val="BodyText"/>
            </w:pPr>
            <w:r w:rsidRPr="001A795D">
              <w:t>Public Safety.</w:t>
            </w:r>
          </w:p>
        </w:tc>
      </w:tr>
    </w:tbl>
    <w:p w:rsidR="00000000" w:rsidRPr="001A795D" w:rsidP="001A795D">
      <w:pPr>
        <w:pStyle w:val="NoPaddingFontSize1"/>
      </w:pPr>
    </w:p>
    <w:p w:rsidR="00000000" w:rsidRPr="001A795D" w:rsidP="001A795D">
      <w:pPr>
        <w:pStyle w:val="AllowPageBreak"/>
      </w:pPr>
    </w:p>
    <w:p w:rsidR="00000000" w:rsidRPr="001A795D" w:rsidP="001A795D">
      <w:pPr>
        <w:pStyle w:val="Heading1"/>
      </w:pPr>
      <w:bookmarkStart w:id="6" w:name="O_1235900"/>
      <w:bookmarkEnd w:id="6"/>
      <w:r w:rsidRPr="001A795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4"/>
        <w:gridCol w:w="697"/>
        <w:gridCol w:w="5543"/>
      </w:tblGrid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 w:rsidP="001A795D">
            <w:pPr>
              <w:pStyle w:val="BodyText"/>
            </w:pPr>
            <w:r w:rsidRPr="001A795D">
              <w:rPr>
                <w:rStyle w:val="SpecialBold"/>
              </w:rPr>
              <w:t>ELEMENTS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rPr>
                <w:rStyle w:val="SpecialBold"/>
              </w:rPr>
              <w:t>PERFORMANCE CRITERIA</w:t>
            </w:r>
          </w:p>
        </w:tc>
      </w:tr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t>Elements describe the essential outcomes.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t>Performance criteria describe the performance needed to demonstrate achievement of the element.</w:t>
            </w:r>
          </w:p>
        </w:tc>
      </w:tr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 w:rsidP="001A795D">
            <w:pPr>
              <w:pStyle w:val="BodyText"/>
            </w:pPr>
            <w:r w:rsidRPr="001A795D">
              <w:rPr>
                <w:rStyle w:val="SpecialBold"/>
              </w:rPr>
              <w:t>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 w:rsidP="001A795D">
            <w:pPr>
              <w:pStyle w:val="BodyText"/>
            </w:pPr>
            <w:r w:rsidRPr="001A795D">
              <w:rPr>
                <w:rStyle w:val="SpecialBold"/>
              </w:rPr>
              <w:t>Prepare to work in a recovery environment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rPr>
                <w:rStyle w:val="SpecialBold"/>
              </w:rPr>
              <w:t>1.1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t>Organisational self-care steps are identified as part of a personal work preparation plan</w:t>
            </w:r>
          </w:p>
        </w:tc>
      </w:tr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rPr>
                <w:rStyle w:val="SpecialBold"/>
              </w:rPr>
              <w:t>1.2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t xml:space="preserve">In readiness </w:t>
            </w:r>
            <w:r w:rsidRPr="001A795D">
              <w:t>for pre-deployment, appropriate support resources for own health and wellbeing and work output are researched and documented</w:t>
            </w:r>
          </w:p>
        </w:tc>
      </w:tr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 w:rsidP="001A795D">
            <w:pPr>
              <w:pStyle w:val="BodyText"/>
            </w:pPr>
            <w:r w:rsidRPr="001A795D">
              <w:rPr>
                <w:rStyle w:val="SpecialBold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 w:rsidP="001A795D">
            <w:pPr>
              <w:pStyle w:val="BodyText"/>
            </w:pPr>
            <w:r w:rsidRPr="001A795D">
              <w:rPr>
                <w:rStyle w:val="SpecialBold"/>
              </w:rPr>
              <w:t xml:space="preserve">Confirm context of recovery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rPr>
                <w:rStyle w:val="SpecialBold"/>
              </w:rPr>
              <w:t>2.1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t>Interoperability between disaster recovery and prevention, preparedness and response is verified</w:t>
            </w:r>
          </w:p>
        </w:tc>
      </w:tr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rPr>
                <w:rStyle w:val="SpecialBold"/>
              </w:rPr>
              <w:t>2.2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t>Activities that can support recovery in the prevention, preparedness and response phases of emergency management are identified</w:t>
            </w:r>
          </w:p>
        </w:tc>
      </w:tr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rPr>
                <w:rStyle w:val="SpecialBold"/>
              </w:rPr>
              <w:t>2.3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t>Building of disas</w:t>
            </w:r>
            <w:r w:rsidRPr="001A795D">
              <w:t>ter resilience through all aspects of emergency management is identified</w:t>
            </w:r>
          </w:p>
        </w:tc>
      </w:tr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rPr>
                <w:rStyle w:val="SpecialBold"/>
              </w:rPr>
              <w:t>2.4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t>The recovery life cycle is described</w:t>
            </w:r>
          </w:p>
        </w:tc>
      </w:tr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 w:rsidP="001A795D">
            <w:pPr>
              <w:pStyle w:val="BodyText"/>
            </w:pPr>
            <w:r w:rsidRPr="001A795D">
              <w:rPr>
                <w:rStyle w:val="SpecialBold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 w:rsidP="001A795D">
            <w:pPr>
              <w:pStyle w:val="BodyText"/>
            </w:pPr>
            <w:r w:rsidRPr="001A795D">
              <w:rPr>
                <w:rStyle w:val="SpecialBold"/>
              </w:rPr>
              <w:t>Apply the principles of disaster recovery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rPr>
                <w:rStyle w:val="SpecialBold"/>
              </w:rPr>
              <w:t>3.1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t>Community-led approaches to recovery and their benefits are identified and documented</w:t>
            </w:r>
          </w:p>
        </w:tc>
      </w:tr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rPr>
                <w:rStyle w:val="SpecialBold"/>
              </w:rPr>
              <w:t>3.2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t>Importance of having a planned, coordinated and adaptive approach to a community-led recovery is verified</w:t>
            </w:r>
          </w:p>
        </w:tc>
      </w:tr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rPr>
                <w:rStyle w:val="SpecialBold"/>
              </w:rPr>
              <w:t>3.3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t xml:space="preserve">Principles of effective communication with disaster-affected individuals, communities and other stakeholders are implemented </w:t>
            </w:r>
          </w:p>
        </w:tc>
      </w:tr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rPr>
                <w:rStyle w:val="SpecialBold"/>
              </w:rPr>
              <w:t>3.4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t>Recove</w:t>
            </w:r>
            <w:r w:rsidRPr="001A795D">
              <w:t xml:space="preserve">ry activities that recognise, support and build individual, community and organisational capacity are confirmed </w:t>
            </w:r>
          </w:p>
        </w:tc>
      </w:tr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 w:rsidP="001A795D">
            <w:pPr>
              <w:pStyle w:val="BodyText"/>
            </w:pPr>
            <w:r w:rsidRPr="001A795D">
              <w:rPr>
                <w:rStyle w:val="SpecialBold"/>
              </w:rPr>
              <w:t>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 w:rsidP="001A795D">
            <w:pPr>
              <w:pStyle w:val="BodyText"/>
            </w:pPr>
            <w:r w:rsidRPr="001A795D">
              <w:rPr>
                <w:rStyle w:val="SpecialBold"/>
              </w:rPr>
              <w:t>Confirm recovery environments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rPr>
                <w:rStyle w:val="SpecialBold"/>
              </w:rPr>
              <w:t>4.1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t>Social environment areas that may be subject to direct and indirect effects are identified</w:t>
            </w:r>
          </w:p>
        </w:tc>
      </w:tr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rPr>
                <w:rStyle w:val="SpecialBold"/>
              </w:rPr>
              <w:t>4.2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t>Built environment impact categories that may be subject to direct and indirect effects are identified</w:t>
            </w:r>
          </w:p>
        </w:tc>
      </w:tr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rPr>
                <w:rStyle w:val="SpecialBold"/>
              </w:rPr>
              <w:t>4.3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t>Economic environment sectors that may be subject to direct and indirect effects are identified</w:t>
            </w:r>
          </w:p>
        </w:tc>
      </w:tr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rPr>
                <w:rStyle w:val="SpecialBold"/>
              </w:rPr>
              <w:t>4.4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t>Components of the natural environment that ma</w:t>
            </w:r>
            <w:r w:rsidRPr="001A795D">
              <w:t>y be subject to direct and indirect effects are identified</w:t>
            </w:r>
          </w:p>
        </w:tc>
      </w:tr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 w:rsidP="001A795D">
            <w:pPr>
              <w:pStyle w:val="BodyText"/>
            </w:pPr>
            <w:r w:rsidRPr="001A795D">
              <w:rPr>
                <w:rStyle w:val="SpecialBold"/>
              </w:rPr>
              <w:t>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 w:rsidP="001A795D">
            <w:pPr>
              <w:pStyle w:val="BodyText"/>
            </w:pPr>
            <w:r w:rsidRPr="001A795D">
              <w:rPr>
                <w:rStyle w:val="SpecialBold"/>
              </w:rPr>
              <w:t xml:space="preserve">Communicate across the recovery environment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rPr>
                <w:rStyle w:val="SpecialBold"/>
              </w:rPr>
              <w:t>5.1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t>Communications approaches with disaster-affected individuals, communities and stakeholders is relevant, clear and targeted</w:t>
            </w:r>
          </w:p>
        </w:tc>
      </w:tr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rPr>
                <w:rStyle w:val="SpecialBold"/>
              </w:rPr>
              <w:t>5.2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t>Communication channels that may be used to establish and maintain two-way communication with disaster-affected people, communities and stakeholders are identified</w:t>
            </w:r>
          </w:p>
        </w:tc>
      </w:tr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rPr>
                <w:rStyle w:val="SpecialBold"/>
              </w:rPr>
              <w:t>5.3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 w:rsidP="001A795D">
            <w:pPr>
              <w:pStyle w:val="BodyText"/>
            </w:pPr>
            <w:r w:rsidRPr="001A795D">
              <w:t>Feedback on effectiveness of communications is sought and referred to appropriate pers</w:t>
            </w:r>
            <w:r w:rsidRPr="001A795D">
              <w:t>onnel and changes are made where necessary</w:t>
            </w:r>
          </w:p>
        </w:tc>
      </w:tr>
    </w:tbl>
    <w:p w:rsidR="00000000" w:rsidRPr="001A795D" w:rsidP="001A795D">
      <w:pPr>
        <w:pStyle w:val="NoPaddingFontSize1"/>
      </w:pPr>
    </w:p>
    <w:p w:rsidR="00000000" w:rsidRPr="001A795D" w:rsidP="001A795D">
      <w:pPr>
        <w:pStyle w:val="AllowPageBreak"/>
      </w:pPr>
    </w:p>
    <w:p w:rsidR="00000000" w:rsidRPr="001A795D" w:rsidP="001A795D">
      <w:pPr>
        <w:pStyle w:val="Heading1"/>
      </w:pPr>
      <w:bookmarkStart w:id="7" w:name="O_1235901"/>
      <w:bookmarkEnd w:id="7"/>
      <w:r w:rsidRPr="001A795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 w:rsidP="001A795D">
            <w:pPr>
              <w:pStyle w:val="BodyText"/>
            </w:pPr>
            <w:r w:rsidRPr="001A795D">
              <w:t>Foundation skills essential to performance are explicit in the performance criteria of this unit of competency.</w:t>
            </w:r>
          </w:p>
        </w:tc>
      </w:tr>
    </w:tbl>
    <w:p w:rsidR="00000000" w:rsidRPr="001A795D" w:rsidP="001A795D">
      <w:pPr>
        <w:pStyle w:val="NoPaddingFontSize1"/>
      </w:pPr>
    </w:p>
    <w:p w:rsidR="00000000" w:rsidRPr="001A795D" w:rsidP="001A795D">
      <w:pPr>
        <w:pStyle w:val="AllowPageBreak"/>
      </w:pPr>
    </w:p>
    <w:p w:rsidR="00000000" w:rsidRPr="001A795D" w:rsidP="001A795D">
      <w:pPr>
        <w:pStyle w:val="Heading1"/>
      </w:pPr>
      <w:bookmarkStart w:id="8" w:name="O_1235902"/>
      <w:bookmarkEnd w:id="8"/>
      <w:r w:rsidRPr="001A795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 w:rsidP="001A795D">
            <w:pPr>
              <w:pStyle w:val="BodyText"/>
            </w:pPr>
            <w:r w:rsidRPr="001A795D">
              <w:t>Range is restricted to essential operating conditions and any other variables essential to the work environment.</w:t>
            </w:r>
          </w:p>
          <w:p w:rsidR="00000000" w:rsidRPr="001A795D" w:rsidP="001A795D">
            <w:pPr>
              <w:pStyle w:val="BodyText"/>
            </w:pPr>
            <w:r w:rsidRPr="001A795D">
              <w:t>Non-essential conditions may be found in the PUA Public Safety Training Package Companion Volume Implementation Guide.</w:t>
            </w:r>
          </w:p>
        </w:tc>
      </w:tr>
    </w:tbl>
    <w:p w:rsidR="00000000" w:rsidRPr="001A795D" w:rsidP="001A795D">
      <w:pPr>
        <w:pStyle w:val="NoPaddingFontSize1"/>
      </w:pPr>
    </w:p>
    <w:p w:rsidR="00000000" w:rsidRPr="001A795D" w:rsidP="001A795D">
      <w:pPr>
        <w:pStyle w:val="AllowPageBreak"/>
      </w:pPr>
    </w:p>
    <w:p w:rsidR="00000000" w:rsidRPr="001A795D" w:rsidP="001A795D">
      <w:pPr>
        <w:pStyle w:val="Heading1"/>
      </w:pPr>
      <w:bookmarkStart w:id="9" w:name="O_1235903"/>
      <w:bookmarkEnd w:id="9"/>
      <w:r w:rsidRPr="001A795D">
        <w:t>Uni</w:t>
      </w:r>
      <w:r w:rsidRPr="001A795D">
        <w:t>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 w:rsidP="001A795D">
            <w:pPr>
              <w:pStyle w:val="BodyText"/>
            </w:pPr>
            <w:r w:rsidRPr="001A795D">
              <w:t>This is a new unit. No equivalent unit.</w:t>
            </w:r>
          </w:p>
        </w:tc>
      </w:tr>
    </w:tbl>
    <w:p w:rsidR="00000000" w:rsidRPr="001A795D" w:rsidP="001A795D">
      <w:pPr>
        <w:pStyle w:val="NoPaddingFontSize1"/>
      </w:pPr>
    </w:p>
    <w:p w:rsidR="00000000" w:rsidRPr="001A795D" w:rsidP="001A795D">
      <w:pPr>
        <w:pStyle w:val="AllowPageBreak"/>
      </w:pPr>
    </w:p>
    <w:p w:rsidR="00000000" w:rsidRPr="001A795D" w:rsidP="001A795D">
      <w:pPr>
        <w:pStyle w:val="Heading1"/>
      </w:pPr>
      <w:bookmarkStart w:id="10" w:name="O_1235910"/>
      <w:bookmarkEnd w:id="10"/>
      <w:r w:rsidRPr="001A795D">
        <w:t>Links</w:t>
      </w:r>
    </w:p>
    <w:p w:rsidR="00000000" w:rsidRPr="001A795D" w:rsidP="00B55A7B">
      <w:pPr>
        <w:pStyle w:val="BodyText"/>
      </w:pPr>
      <w:r w:rsidRPr="001A79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804E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A795D" w:rsidP="00B55A7B">
      <w:pPr>
        <w:pStyle w:val="BodyText"/>
        <w:sectPr w:rsidSect="001A79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795D" w:rsidP="001A795D">
      <w:pPr>
        <w:pStyle w:val="SuperHeading"/>
      </w:pPr>
      <w:r w:rsidRPr="001A795D">
        <w:t>Assessment Requirements for PUARCV003 Work in a recovery context</w:t>
      </w:r>
    </w:p>
    <w:p w:rsidR="00000000" w:rsidRPr="001A795D" w:rsidP="001A795D">
      <w:pPr>
        <w:pStyle w:val="Heading1"/>
      </w:pPr>
      <w:bookmarkStart w:id="11" w:name="O_1235905"/>
      <w:bookmarkEnd w:id="11"/>
      <w:r w:rsidRPr="001A795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 w:rsidP="001A795D">
            <w:pPr>
              <w:pStyle w:val="BodyText"/>
            </w:pPr>
            <w:r w:rsidRPr="001A795D">
              <w:t>Release 1. This is the first release of this unit of competency in the PUA Public Safety Training Package.</w:t>
            </w:r>
          </w:p>
        </w:tc>
      </w:tr>
    </w:tbl>
    <w:p w:rsidR="00000000" w:rsidRPr="001A795D" w:rsidP="001A795D">
      <w:pPr>
        <w:pStyle w:val="NoPaddingFontSize1"/>
      </w:pPr>
    </w:p>
    <w:p w:rsidR="00000000" w:rsidRPr="001A795D" w:rsidP="001A795D">
      <w:pPr>
        <w:pStyle w:val="AllowPageBreak"/>
      </w:pPr>
    </w:p>
    <w:p w:rsidR="00000000" w:rsidRPr="001A795D" w:rsidP="001A795D">
      <w:pPr>
        <w:pStyle w:val="Heading1"/>
      </w:pPr>
      <w:bookmarkStart w:id="12" w:name="O_1235906"/>
      <w:bookmarkEnd w:id="12"/>
      <w:r w:rsidRPr="001A795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t xml:space="preserve">Evidence required to demonstrate competence in this unit must be relevant to and satisfy all of the requirements of the elements and performance criteria on </w:t>
            </w:r>
            <w:r w:rsidRPr="001A795D">
              <w:t xml:space="preserve">at least one occasion and include the following as they relate to recovery scenarios: </w:t>
            </w:r>
          </w:p>
        </w:tc>
      </w:tr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 w:rsidP="001A795D">
            <w:pPr>
              <w:pStyle w:val="ListBullet"/>
            </w:pPr>
            <w:r w:rsidRPr="001A795D">
              <w:t xml:space="preserve">communicating effectively with disaster-impacted individuals </w:t>
            </w:r>
          </w:p>
          <w:p w:rsidR="00000000" w:rsidRPr="001A795D" w:rsidP="001A795D">
            <w:pPr>
              <w:pStyle w:val="ListBullet"/>
            </w:pPr>
            <w:r w:rsidRPr="001A795D">
              <w:t>following organisational policies and procedures</w:t>
            </w:r>
          </w:p>
          <w:p w:rsidR="00000000" w:rsidRPr="001A795D" w:rsidP="001A795D">
            <w:pPr>
              <w:pStyle w:val="ListBullet"/>
            </w:pPr>
            <w:r w:rsidRPr="001A795D">
              <w:t>maintaining personal wellbeing and self-care</w:t>
            </w:r>
          </w:p>
          <w:p w:rsidR="00000000" w:rsidRPr="001A795D" w:rsidP="001A795D">
            <w:pPr>
              <w:pStyle w:val="ListBullet"/>
            </w:pPr>
            <w:r w:rsidRPr="001A795D">
              <w:t>outlining r</w:t>
            </w:r>
            <w:r w:rsidRPr="001A795D">
              <w:t>ecovery activities related to the emergency management phases of prevention, preparedness, response and recovery</w:t>
            </w:r>
          </w:p>
          <w:p w:rsidR="00000000" w:rsidRPr="001A795D" w:rsidP="001A795D">
            <w:pPr>
              <w:pStyle w:val="ListBullet"/>
            </w:pPr>
            <w:r w:rsidRPr="001A795D">
              <w:t>supporting a diverse range of disaster-affected individuals and communities</w:t>
            </w:r>
          </w:p>
          <w:p w:rsidR="00000000" w:rsidRPr="001A795D" w:rsidP="001A795D">
            <w:pPr>
              <w:pStyle w:val="ListBullet"/>
            </w:pPr>
            <w:r w:rsidRPr="001A795D">
              <w:t>working collaboratively with disaster-affected individuals, communi</w:t>
            </w:r>
            <w:r w:rsidRPr="001A795D">
              <w:t>ties and other stakeholders.</w:t>
            </w:r>
          </w:p>
        </w:tc>
      </w:tr>
    </w:tbl>
    <w:p w:rsidR="00000000" w:rsidRPr="001A795D" w:rsidP="001A795D">
      <w:pPr>
        <w:pStyle w:val="NoPaddingFontSize1"/>
      </w:pPr>
    </w:p>
    <w:p w:rsidR="00000000" w:rsidRPr="001A795D" w:rsidP="001A795D">
      <w:pPr>
        <w:pStyle w:val="AllowPageBreak"/>
      </w:pPr>
    </w:p>
    <w:p w:rsidR="00000000" w:rsidRPr="001A795D" w:rsidP="001A795D">
      <w:pPr>
        <w:pStyle w:val="Heading1"/>
      </w:pPr>
      <w:bookmarkStart w:id="13" w:name="O_1235907"/>
      <w:bookmarkEnd w:id="13"/>
      <w:r w:rsidRPr="001A795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5D">
            <w:pPr>
              <w:pStyle w:val="BodyText"/>
              <w:rPr>
                <w:lang w:val="en-NZ"/>
              </w:rPr>
            </w:pPr>
            <w:r w:rsidRPr="001A795D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 w:rsidP="001A795D">
            <w:pPr>
              <w:pStyle w:val="ListBullet"/>
            </w:pPr>
            <w:r w:rsidRPr="001A795D">
              <w:t xml:space="preserve">aspects of recovery: </w:t>
            </w:r>
          </w:p>
          <w:p w:rsidR="00000000" w:rsidRPr="001A795D" w:rsidP="001A795D">
            <w:pPr>
              <w:pStyle w:val="ListBullet2"/>
            </w:pPr>
            <w:r w:rsidRPr="001A795D">
              <w:t>early recovery</w:t>
            </w:r>
          </w:p>
          <w:p w:rsidR="00000000" w:rsidRPr="001A795D" w:rsidP="001A795D">
            <w:pPr>
              <w:pStyle w:val="ListBullet2"/>
            </w:pPr>
            <w:r w:rsidRPr="001A795D">
              <w:t>medium to longer-term recovery</w:t>
            </w:r>
          </w:p>
          <w:p w:rsidR="00000000" w:rsidRPr="001A795D" w:rsidP="001A795D">
            <w:pPr>
              <w:pStyle w:val="ListBullet2"/>
            </w:pPr>
            <w:r w:rsidRPr="001A795D">
              <w:t>preparedness and activation</w:t>
            </w:r>
          </w:p>
          <w:p w:rsidR="00000000" w:rsidRPr="001A795D" w:rsidP="001A795D">
            <w:pPr>
              <w:pStyle w:val="ListBullet2"/>
            </w:pPr>
            <w:r w:rsidRPr="001A795D">
              <w:t>relief - typically immediate</w:t>
            </w:r>
          </w:p>
          <w:p w:rsidR="00000000" w:rsidRPr="001A795D" w:rsidP="001A795D">
            <w:pPr>
              <w:pStyle w:val="ListBullet"/>
            </w:pPr>
            <w:r w:rsidRPr="001A795D">
              <w:t>community-led recovery approaches</w:t>
            </w:r>
          </w:p>
          <w:p w:rsidR="00000000" w:rsidRPr="001A795D" w:rsidP="001A795D">
            <w:pPr>
              <w:pStyle w:val="ListBullet"/>
            </w:pPr>
            <w:r w:rsidRPr="001A795D">
              <w:t>communication channels used in disaster recovery</w:t>
            </w:r>
          </w:p>
          <w:p w:rsidR="00000000" w:rsidRPr="001A795D" w:rsidP="001A795D">
            <w:pPr>
              <w:pStyle w:val="ListBullet"/>
            </w:pPr>
            <w:r w:rsidRPr="001A795D">
              <w:t xml:space="preserve">definitions of disaster, recovery and resilience </w:t>
            </w:r>
          </w:p>
          <w:p w:rsidR="00000000" w:rsidRPr="001A795D" w:rsidP="001A795D">
            <w:pPr>
              <w:pStyle w:val="ListBullet"/>
            </w:pPr>
            <w:r w:rsidRPr="001A795D">
              <w:t>disaster-affected people and communities</w:t>
            </w:r>
          </w:p>
          <w:p w:rsidR="00000000" w:rsidRPr="001A795D" w:rsidP="001A795D">
            <w:pPr>
              <w:pStyle w:val="ListBullet"/>
            </w:pPr>
            <w:r w:rsidRPr="001A795D">
              <w:t>diversity and inclusion</w:t>
            </w:r>
          </w:p>
          <w:p w:rsidR="00000000" w:rsidRPr="001A795D" w:rsidP="001A795D">
            <w:pPr>
              <w:pStyle w:val="ListBullet"/>
            </w:pPr>
            <w:r w:rsidRPr="001A795D">
              <w:t>effective communication principles</w:t>
            </w:r>
          </w:p>
          <w:p w:rsidR="00000000" w:rsidRPr="001A795D" w:rsidP="001A795D">
            <w:pPr>
              <w:pStyle w:val="ListBullet"/>
            </w:pPr>
            <w:r w:rsidRPr="001A795D">
              <w:t>factors for consideration when working in a recovery environment</w:t>
            </w:r>
          </w:p>
          <w:p w:rsidR="00000000" w:rsidRPr="001A795D" w:rsidP="001A795D">
            <w:pPr>
              <w:pStyle w:val="ListBullet"/>
            </w:pPr>
            <w:r w:rsidRPr="001A795D">
              <w:t>methods of communication used in disaster</w:t>
            </w:r>
            <w:r w:rsidRPr="001A795D">
              <w:t xml:space="preserve"> recovery</w:t>
            </w:r>
          </w:p>
          <w:p w:rsidR="00000000" w:rsidRPr="001A795D" w:rsidP="001A795D">
            <w:pPr>
              <w:pStyle w:val="ListBullet"/>
            </w:pPr>
            <w:r w:rsidRPr="001A795D">
              <w:t>media policy</w:t>
            </w:r>
          </w:p>
          <w:p w:rsidR="00000000" w:rsidRPr="001A795D" w:rsidP="001A795D">
            <w:pPr>
              <w:pStyle w:val="ListBullet"/>
            </w:pPr>
            <w:r w:rsidRPr="001A795D">
              <w:t>National Principles for Disaster Recovery</w:t>
            </w:r>
          </w:p>
          <w:p w:rsidR="00000000" w:rsidRPr="001A795D" w:rsidP="001A795D">
            <w:pPr>
              <w:pStyle w:val="ListBullet"/>
            </w:pPr>
            <w:r w:rsidRPr="001A795D">
              <w:t xml:space="preserve">principles for communicating in recovery </w:t>
            </w:r>
          </w:p>
          <w:p w:rsidR="00000000" w:rsidRPr="001A795D" w:rsidP="001A795D">
            <w:pPr>
              <w:pStyle w:val="ListBullet"/>
            </w:pPr>
            <w:r w:rsidRPr="001A795D">
              <w:t>prevention</w:t>
            </w:r>
            <w:r w:rsidRPr="001A795D">
              <w:t xml:space="preserve">, preparedness, response and recovery (PPRR) phases of emergency management, their intersection and activities undertaken to support recovery and resilience </w:t>
            </w:r>
          </w:p>
          <w:p w:rsidR="00000000" w:rsidRPr="001A795D" w:rsidP="001A795D">
            <w:pPr>
              <w:pStyle w:val="ListBullet"/>
            </w:pPr>
            <w:r w:rsidRPr="001A795D">
              <w:t>recovery environments</w:t>
            </w:r>
          </w:p>
          <w:p w:rsidR="00000000" w:rsidRPr="001A795D" w:rsidP="001A795D">
            <w:pPr>
              <w:pStyle w:val="ListBullet"/>
            </w:pPr>
            <w:r w:rsidRPr="001A795D">
              <w:t>recovery stakeholders</w:t>
            </w:r>
          </w:p>
          <w:p w:rsidR="00000000" w:rsidRPr="001A795D" w:rsidP="001A795D">
            <w:pPr>
              <w:pStyle w:val="ListBullet"/>
            </w:pPr>
            <w:r w:rsidRPr="001A795D">
              <w:t>self-care</w:t>
            </w:r>
          </w:p>
          <w:p w:rsidR="00000000" w:rsidRPr="001A795D" w:rsidP="001A795D">
            <w:pPr>
              <w:pStyle w:val="ListBullet"/>
            </w:pPr>
            <w:r w:rsidRPr="001A795D">
              <w:t>transition from recovery to mainstream servi</w:t>
            </w:r>
            <w:r w:rsidRPr="001A795D">
              <w:t>ces/ongoing community development, renewal and regeneration</w:t>
            </w:r>
          </w:p>
          <w:p w:rsidR="00000000" w:rsidRPr="001A795D" w:rsidP="001A795D">
            <w:pPr>
              <w:pStyle w:val="ListBullet"/>
            </w:pPr>
            <w:r w:rsidRPr="001A795D">
              <w:t>typical reactions that people exposed to a traumatic event may experience.</w:t>
            </w:r>
          </w:p>
        </w:tc>
      </w:tr>
    </w:tbl>
    <w:p w:rsidR="00000000" w:rsidRPr="001A795D" w:rsidP="001A795D">
      <w:pPr>
        <w:pStyle w:val="NoPaddingFontSize1"/>
      </w:pPr>
    </w:p>
    <w:p w:rsidR="00000000" w:rsidRPr="001A795D" w:rsidP="001A795D">
      <w:pPr>
        <w:pStyle w:val="AllowPageBreak"/>
      </w:pPr>
    </w:p>
    <w:p w:rsidR="00000000" w:rsidRPr="001A795D" w:rsidP="001A795D">
      <w:pPr>
        <w:pStyle w:val="Heading1"/>
      </w:pPr>
      <w:bookmarkStart w:id="14" w:name="O_1235908"/>
      <w:bookmarkEnd w:id="14"/>
      <w:r w:rsidRPr="001A795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5D" w:rsidP="001A795D">
            <w:pPr>
              <w:pStyle w:val="BodyText"/>
            </w:pPr>
            <w:r w:rsidRPr="001A795D">
              <w:t>Assessors must hold credentials specified within the Standards for Registered</w:t>
            </w:r>
            <w:r w:rsidRPr="001A795D">
              <w:t xml:space="preserve"> Training Organisations current at the time of assessment.</w:t>
            </w:r>
          </w:p>
          <w:p w:rsidR="00000000" w:rsidRPr="001A795D" w:rsidP="001A795D">
            <w:pPr>
              <w:pStyle w:val="BodyText"/>
            </w:pPr>
            <w:r w:rsidRPr="001A795D">
              <w:t>Assessment must satisfy the Principles of Assessment and Rules of Evidence and all regulatory requirements included within the Standards for Regi</w:t>
            </w:r>
            <w:r w:rsidRPr="001A795D">
              <w:t>stered Training Organisations current at the time of assessment.</w:t>
            </w:r>
          </w:p>
          <w:p w:rsidR="00000000" w:rsidRPr="001A795D" w:rsidP="001A795D">
            <w:pPr>
              <w:pStyle w:val="BodyText"/>
            </w:pPr>
            <w:r w:rsidRPr="001A795D">
              <w:t>Assessment must occur in workplace operational situations. Where this is not appropriate, assessment must occur in simulated workplace operational situations that reflect workplace conditions</w:t>
            </w:r>
            <w:r w:rsidRPr="001A795D">
              <w:t>.</w:t>
            </w:r>
          </w:p>
          <w:p w:rsidR="00000000" w:rsidRPr="001A795D" w:rsidP="001A795D">
            <w:pPr>
              <w:pStyle w:val="BodyText"/>
            </w:pPr>
            <w:r w:rsidRPr="001A795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A795D" w:rsidP="001A795D">
            <w:pPr>
              <w:pStyle w:val="BodyText"/>
            </w:pPr>
            <w:r w:rsidRPr="001A795D">
              <w:t>Resources for assessment must include access to:</w:t>
            </w:r>
          </w:p>
          <w:p w:rsidR="00000000" w:rsidRPr="001A795D" w:rsidP="001A795D">
            <w:pPr>
              <w:pStyle w:val="ListBullet"/>
            </w:pPr>
            <w:r w:rsidRPr="001A795D">
              <w:t xml:space="preserve">a range of relevant exercises, case </w:t>
            </w:r>
            <w:r w:rsidRPr="001A795D">
              <w:t>studies and/or simulations</w:t>
            </w:r>
          </w:p>
          <w:p w:rsidR="00000000" w:rsidRPr="001A795D" w:rsidP="001A795D">
            <w:pPr>
              <w:pStyle w:val="ListBullet"/>
            </w:pPr>
            <w:r w:rsidRPr="001A795D">
              <w:t>applicable documentation, including workplace procedures, regulations, codes of practice and operation manuals</w:t>
            </w:r>
          </w:p>
          <w:p w:rsidR="00000000" w:rsidRPr="001A795D" w:rsidP="001A795D">
            <w:pPr>
              <w:pStyle w:val="ListBullet"/>
            </w:pPr>
            <w:r w:rsidRPr="001A795D">
              <w:t>relevant materials, tools, equipment and personal protective equipment (PPE) currently used in industry.</w:t>
            </w:r>
          </w:p>
        </w:tc>
      </w:tr>
    </w:tbl>
    <w:p w:rsidR="00000000" w:rsidRPr="001A795D" w:rsidP="001A795D">
      <w:pPr>
        <w:pStyle w:val="NoPaddingFontSize1"/>
      </w:pPr>
    </w:p>
    <w:p w:rsidR="00000000" w:rsidRPr="001A795D" w:rsidP="001A795D">
      <w:pPr>
        <w:pStyle w:val="AllowPageBreak"/>
      </w:pPr>
    </w:p>
    <w:p w:rsidR="00000000" w:rsidRPr="001A795D" w:rsidP="001A795D">
      <w:pPr>
        <w:pStyle w:val="Heading1"/>
      </w:pPr>
      <w:bookmarkStart w:id="15" w:name="O_1235911"/>
      <w:bookmarkEnd w:id="15"/>
      <w:r w:rsidRPr="001A795D">
        <w:t>Links</w:t>
      </w:r>
    </w:p>
    <w:p w:rsidR="00000000" w:rsidRPr="001A795D" w:rsidP="00B55A7B">
      <w:pPr>
        <w:pStyle w:val="BodyText"/>
      </w:pPr>
      <w:r w:rsidRPr="001A79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804E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A795D" w:rsidP="001A795D"/>
    <w:sectPr w:rsidSect="001A79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5D" w:rsidRPr="00B55A7B" w:rsidP="00B55A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A7B" w:rsidP="001A79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5A7B" w:rsidP="001A79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55A7B" w:rsidP="001A79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5D" w:rsidP="001A79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5A7B">
      <w:t>Approved</w:t>
    </w:r>
    <w:r w:rsidR="00B55A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5A7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5A7B">
      <w:rPr>
        <w:noProof/>
      </w:rPr>
      <w:t>4</w:t>
    </w:r>
    <w:r>
      <w:rPr>
        <w:noProof/>
      </w:rPr>
      <w:fldChar w:fldCharType="end"/>
    </w:r>
  </w:p>
  <w:p w:rsidR="001A795D" w:rsidP="001A79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5A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5A7B">
      <w:t>Public Skills Australia</w:t>
    </w:r>
    <w:r w:rsidR="00B55A7B">
      <w:fldChar w:fldCharType="end"/>
    </w:r>
  </w:p>
  <w:p w:rsidR="001A795D" w:rsidP="001A79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A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795D" w:rsidRPr="00B55A7B" w:rsidP="00B55A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A7B" w:rsidRPr="002D2AF8" w:rsidP="001A79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PUARCV003 Work in a recovery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55A7B" w:rsidP="001A79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5D" w:rsidRPr="002D2AF8" w:rsidP="001A79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5A7B">
      <w:t>PUARCV003 Work in a recovery context</w:t>
    </w:r>
    <w:r w:rsidR="00B55A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5A7B">
      <w:rPr>
        <w:noProof/>
      </w:rPr>
      <w:t>1 March 2025</w:t>
    </w:r>
    <w:r>
      <w:fldChar w:fldCharType="end"/>
    </w:r>
  </w:p>
  <w:p w:rsidR="001A795D" w:rsidP="001A79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6CEC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5035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3A72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9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79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79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79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79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79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79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79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79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79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79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795D"/>
  </w:style>
  <w:style w:type="character" w:customStyle="1" w:styleId="Heading1Char">
    <w:name w:val="Heading 1 Char"/>
    <w:basedOn w:val="DefaultParagraphFont"/>
    <w:link w:val="Heading1"/>
    <w:rsid w:val="001A79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79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79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79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79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795D"/>
    <w:rPr>
      <w:b/>
      <w:spacing w:val="0"/>
    </w:rPr>
  </w:style>
  <w:style w:type="paragraph" w:styleId="ListBullet2">
    <w:name w:val="List Bullet 2"/>
    <w:basedOn w:val="List2"/>
    <w:rsid w:val="001A795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795D"/>
    <w:rPr>
      <w:i/>
    </w:rPr>
  </w:style>
  <w:style w:type="paragraph" w:customStyle="1" w:styleId="SuperHeading">
    <w:name w:val="SuperHeading"/>
    <w:basedOn w:val="Normal"/>
    <w:rsid w:val="001A79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79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A79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79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79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79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79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79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79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79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79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79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79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79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79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79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79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79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79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79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79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79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79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79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79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79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79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79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79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79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79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79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79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79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79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79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795D"/>
  </w:style>
  <w:style w:type="paragraph" w:styleId="TableofFigures">
    <w:name w:val="table of figures"/>
    <w:basedOn w:val="Normal"/>
    <w:next w:val="Normal"/>
    <w:semiHidden/>
    <w:rsid w:val="001A79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79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795D"/>
    <w:rPr>
      <w:rFonts w:ascii="Wingdings" w:hAnsi="Wingdings"/>
    </w:rPr>
  </w:style>
  <w:style w:type="paragraph" w:customStyle="1" w:styleId="TableHeading">
    <w:name w:val="Table Heading"/>
    <w:basedOn w:val="HeadingBase"/>
    <w:rsid w:val="001A79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795D"/>
    <w:rPr>
      <w:color w:val="0033CC"/>
      <w:u w:val="none"/>
    </w:rPr>
  </w:style>
  <w:style w:type="paragraph" w:customStyle="1" w:styleId="BodyTextRight">
    <w:name w:val="Body Text Right"/>
    <w:basedOn w:val="BodyText"/>
    <w:rsid w:val="001A79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79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79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79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79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79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795D"/>
    <w:rPr>
      <w:sz w:val="32"/>
    </w:rPr>
  </w:style>
  <w:style w:type="paragraph" w:customStyle="1" w:styleId="HeadingProcedure">
    <w:name w:val="Heading Procedure"/>
    <w:basedOn w:val="HeadingBase"/>
    <w:next w:val="Normal"/>
    <w:rsid w:val="001A79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795D"/>
    <w:pPr>
      <w:spacing w:before="60" w:after="60"/>
    </w:pPr>
  </w:style>
  <w:style w:type="paragraph" w:styleId="ListContinue">
    <w:name w:val="List Continue"/>
    <w:basedOn w:val="List"/>
    <w:rsid w:val="001A795D"/>
    <w:pPr>
      <w:ind w:firstLine="0"/>
    </w:pPr>
  </w:style>
  <w:style w:type="paragraph" w:customStyle="1" w:styleId="ListNote">
    <w:name w:val="List Note"/>
    <w:basedOn w:val="List"/>
    <w:rsid w:val="001A79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79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79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795D"/>
    <w:rPr>
      <w:rFonts w:ascii="Courier New" w:hAnsi="Courier New"/>
    </w:rPr>
  </w:style>
  <w:style w:type="paragraph" w:customStyle="1" w:styleId="NoteBullet">
    <w:name w:val="Note Bullet"/>
    <w:basedOn w:val="Note"/>
    <w:rsid w:val="001A79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79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79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79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79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79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79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795D"/>
    <w:rPr>
      <w:b/>
      <w:smallCaps/>
    </w:rPr>
  </w:style>
  <w:style w:type="paragraph" w:customStyle="1" w:styleId="TableListNumber">
    <w:name w:val="Table List Number"/>
    <w:basedOn w:val="ListNumber"/>
    <w:rsid w:val="001A79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79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795D"/>
    <w:pPr>
      <w:numPr>
        <w:numId w:val="9"/>
      </w:numPr>
    </w:pPr>
  </w:style>
  <w:style w:type="paragraph" w:customStyle="1" w:styleId="ListAlpha2">
    <w:name w:val="List Alpha 2"/>
    <w:basedOn w:val="List2"/>
    <w:rsid w:val="001A795D"/>
    <w:pPr>
      <w:numPr>
        <w:numId w:val="8"/>
      </w:numPr>
    </w:pPr>
  </w:style>
  <w:style w:type="paragraph" w:styleId="List2">
    <w:name w:val="List 2"/>
    <w:basedOn w:val="BodyText"/>
    <w:rsid w:val="001A79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79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79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79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79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79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795D"/>
    <w:pPr>
      <w:numPr>
        <w:numId w:val="4"/>
      </w:numPr>
    </w:pPr>
  </w:style>
  <w:style w:type="paragraph" w:styleId="ListContinue2">
    <w:name w:val="List Continue 2"/>
    <w:basedOn w:val="List2"/>
    <w:rsid w:val="001A795D"/>
    <w:pPr>
      <w:ind w:firstLine="0"/>
    </w:pPr>
  </w:style>
  <w:style w:type="paragraph" w:styleId="ListContinue3">
    <w:name w:val="List Continue 3"/>
    <w:basedOn w:val="List3"/>
    <w:rsid w:val="001A795D"/>
    <w:pPr>
      <w:ind w:left="1021" w:firstLine="0"/>
    </w:pPr>
  </w:style>
  <w:style w:type="paragraph" w:styleId="ListContinue4">
    <w:name w:val="List Continue 4"/>
    <w:basedOn w:val="List4"/>
    <w:rsid w:val="001A795D"/>
    <w:pPr>
      <w:ind w:firstLine="0"/>
    </w:pPr>
  </w:style>
  <w:style w:type="paragraph" w:styleId="ListContinue5">
    <w:name w:val="List Continue 5"/>
    <w:basedOn w:val="List5"/>
    <w:rsid w:val="001A795D"/>
    <w:pPr>
      <w:ind w:firstLine="0"/>
    </w:pPr>
  </w:style>
  <w:style w:type="paragraph" w:styleId="ListNumber3">
    <w:name w:val="List Number 3"/>
    <w:basedOn w:val="List3"/>
    <w:rsid w:val="001A795D"/>
    <w:pPr>
      <w:numPr>
        <w:numId w:val="5"/>
      </w:numPr>
    </w:pPr>
  </w:style>
  <w:style w:type="paragraph" w:styleId="ListNumber4">
    <w:name w:val="List Number 4"/>
    <w:basedOn w:val="List4"/>
    <w:rsid w:val="001A795D"/>
    <w:pPr>
      <w:numPr>
        <w:numId w:val="6"/>
      </w:numPr>
    </w:pPr>
  </w:style>
  <w:style w:type="paragraph" w:styleId="ListNumber5">
    <w:name w:val="List Number 5"/>
    <w:basedOn w:val="List5"/>
    <w:rsid w:val="001A795D"/>
    <w:pPr>
      <w:numPr>
        <w:numId w:val="7"/>
      </w:numPr>
    </w:pPr>
  </w:style>
  <w:style w:type="paragraph" w:styleId="BlockText">
    <w:name w:val="Block Text"/>
    <w:basedOn w:val="Normal"/>
    <w:rsid w:val="001A79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79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795D"/>
    <w:rPr>
      <w:sz w:val="16"/>
      <w:vertAlign w:val="superscript"/>
    </w:rPr>
  </w:style>
  <w:style w:type="character" w:customStyle="1" w:styleId="Symbols">
    <w:name w:val="Symbols"/>
    <w:basedOn w:val="DefaultParagraphFont"/>
    <w:rsid w:val="001A795D"/>
    <w:rPr>
      <w:rFonts w:ascii="Symbol" w:hAnsi="Symbol"/>
    </w:rPr>
  </w:style>
  <w:style w:type="character" w:customStyle="1" w:styleId="MenuOptions">
    <w:name w:val="Menu Options"/>
    <w:basedOn w:val="DefaultParagraphFont"/>
    <w:rsid w:val="001A79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795D"/>
    <w:rPr>
      <w:b/>
    </w:rPr>
  </w:style>
  <w:style w:type="character" w:customStyle="1" w:styleId="Underlined">
    <w:name w:val="Underlined"/>
    <w:basedOn w:val="DefaultParagraphFont"/>
    <w:rsid w:val="001A795D"/>
    <w:rPr>
      <w:u w:val="single"/>
    </w:rPr>
  </w:style>
  <w:style w:type="paragraph" w:customStyle="1" w:styleId="TableBodyTextRight">
    <w:name w:val="Table Body Text Right"/>
    <w:basedOn w:val="TableBodyText"/>
    <w:rsid w:val="001A79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795D"/>
    <w:rPr>
      <w:sz w:val="18"/>
    </w:rPr>
  </w:style>
  <w:style w:type="paragraph" w:customStyle="1" w:styleId="BodySmallRight">
    <w:name w:val="Body Small Right"/>
    <w:basedOn w:val="BodyTextRight"/>
    <w:rsid w:val="001A795D"/>
    <w:rPr>
      <w:sz w:val="18"/>
      <w:szCs w:val="18"/>
    </w:rPr>
  </w:style>
  <w:style w:type="paragraph" w:customStyle="1" w:styleId="MarginEdition">
    <w:name w:val="Margin Edition"/>
    <w:basedOn w:val="MarginNote"/>
    <w:rsid w:val="001A79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795D"/>
    <w:rPr>
      <w:sz w:val="2"/>
      <w:szCs w:val="2"/>
    </w:rPr>
  </w:style>
  <w:style w:type="character" w:customStyle="1" w:styleId="Small">
    <w:name w:val="Small"/>
    <w:basedOn w:val="DefaultParagraphFont"/>
    <w:rsid w:val="001A795D"/>
    <w:rPr>
      <w:sz w:val="16"/>
    </w:rPr>
  </w:style>
  <w:style w:type="paragraph" w:customStyle="1" w:styleId="WideTable">
    <w:name w:val="Wide Table"/>
    <w:basedOn w:val="Normal"/>
    <w:rsid w:val="001A79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795D"/>
  </w:style>
  <w:style w:type="paragraph" w:styleId="Quote">
    <w:name w:val="Quote"/>
    <w:basedOn w:val="Heading1"/>
    <w:link w:val="QuoteChar"/>
    <w:qFormat/>
    <w:rsid w:val="001A79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79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795D"/>
    <w:pPr>
      <w:pageBreakBefore/>
    </w:pPr>
  </w:style>
  <w:style w:type="paragraph" w:customStyle="1" w:styleId="Border">
    <w:name w:val="Border"/>
    <w:basedOn w:val="Normal"/>
    <w:qFormat/>
    <w:rsid w:val="001A79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79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9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9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79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79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79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79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79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795D"/>
    <w:rPr>
      <w:u w:val="single"/>
    </w:rPr>
  </w:style>
  <w:style w:type="character" w:customStyle="1" w:styleId="BoldandItalics">
    <w:name w:val="Bold and Italics"/>
    <w:qFormat/>
    <w:rsid w:val="001A795D"/>
    <w:rPr>
      <w:b/>
      <w:i/>
      <w:u w:val="none"/>
    </w:rPr>
  </w:style>
  <w:style w:type="paragraph" w:styleId="BalloonText">
    <w:name w:val="Balloon Text"/>
    <w:basedOn w:val="Normal"/>
    <w:link w:val="BalloonTextChar"/>
    <w:rsid w:val="001A79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79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79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79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79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79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795D"/>
    <w:pPr>
      <w:spacing w:before="0" w:after="0"/>
    </w:pPr>
  </w:style>
  <w:style w:type="paragraph" w:customStyle="1" w:styleId="BodyTextBold">
    <w:name w:val="Body Text Bold"/>
    <w:basedOn w:val="BodyText"/>
    <w:qFormat/>
    <w:rsid w:val="001A795D"/>
    <w:rPr>
      <w:b/>
    </w:rPr>
  </w:style>
  <w:style w:type="character" w:styleId="Hyperlink">
    <w:name w:val="Hyperlink"/>
    <w:basedOn w:val="DefaultParagraphFont"/>
    <w:uiPriority w:val="99"/>
    <w:unhideWhenUsed/>
    <w:rsid w:val="00B55A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1048</Words>
  <Characters>6865</Characters>
  <Application>Microsoft Office Word</Application>
  <DocSecurity>0</DocSecurity>
  <Lines>254</Lines>
  <Paragraphs>146</Paragraphs>
  <ScaleCrop>false</ScaleCrop>
  <Company>Author-it Software Corporation Ltd.</Company>
  <LinksUpToDate>false</LinksUpToDate>
  <CharactersWithSpaces>7767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PUARCV003 Work in a recovery context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2025-03-01T08:58:00Z</dcterms:created>
  <dcterms:modified xsi:type="dcterms:W3CDTF">2025-03-01T08:58:00Z</dcterms:modified>
</cp:coreProperties>
</file>