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C10" w:rsidP="00541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PUAOPE003 Manage the public information function at an incident</w:t>
      </w:r>
      <w:r>
        <w:fldChar w:fldCharType="end"/>
      </w:r>
    </w:p>
    <w:p w:rsidR="00541C10" w:rsidP="00541C10">
      <w:pPr>
        <w:pStyle w:val="Version"/>
        <w:sectPr w:rsidSect="00856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B17" w:rsidP="00856B17">
      <w:pPr>
        <w:pStyle w:val="SuperHeading"/>
      </w:pPr>
      <w:r w:rsidRPr="00856B17">
        <w:t>Assessment Requirements for PUAOPE003 Manage the public information function at an incident</w:t>
      </w:r>
    </w:p>
    <w:p w:rsidR="00000000" w:rsidRPr="00856B17" w:rsidP="00856B17">
      <w:pPr>
        <w:pStyle w:val="Heading1"/>
      </w:pPr>
      <w:bookmarkStart w:id="1" w:name="O_1031543"/>
      <w:bookmarkEnd w:id="1"/>
      <w:r w:rsidRPr="00856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17" w:rsidP="00856B17">
            <w:pPr>
              <w:pStyle w:val="BodyText"/>
            </w:pPr>
            <w:r w:rsidRPr="00856B17">
              <w:rPr>
                <w:rStyle w:val="SpecialBold"/>
              </w:rPr>
              <w:t>Release 1.</w:t>
            </w:r>
            <w:r w:rsidRPr="00856B17">
              <w:t xml:space="preserve"> This is the first release of this unit of competency in the Public Safety Training Package.</w:t>
            </w:r>
          </w:p>
        </w:tc>
      </w:tr>
    </w:tbl>
    <w:p w:rsidR="00541C10" w:rsidP="00856B17">
      <w:pPr>
        <w:pStyle w:val="NoPaddingFontSize1"/>
      </w:pPr>
    </w:p>
    <w:p w:rsidR="00541C10" w:rsidP="00856B17">
      <w:pPr>
        <w:pStyle w:val="NoPaddingFontSize1"/>
      </w:pPr>
    </w:p>
    <w:p w:rsidR="00000000" w:rsidRPr="00856B17" w:rsidP="00856B17">
      <w:pPr>
        <w:pStyle w:val="Heading1"/>
      </w:pPr>
      <w:bookmarkStart w:id="2" w:name="O_1031544"/>
      <w:bookmarkEnd w:id="2"/>
      <w:r w:rsidRPr="00856B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17">
            <w:pPr>
              <w:pStyle w:val="BodyText"/>
              <w:rPr>
                <w:lang w:val="en-NZ"/>
              </w:rPr>
            </w:pPr>
            <w:r w:rsidRPr="00856B17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17" w:rsidP="00856B17">
            <w:pPr>
              <w:pStyle w:val="ListBullet"/>
            </w:pPr>
            <w:r w:rsidRPr="00856B17">
              <w:t>allocating and monitoring resources</w:t>
            </w:r>
          </w:p>
          <w:p w:rsidR="00000000" w:rsidRPr="00856B17" w:rsidP="00856B17">
            <w:pPr>
              <w:pStyle w:val="ListBullet"/>
            </w:pPr>
            <w:r w:rsidRPr="00856B17">
              <w:t>analysing incident information from a variety of sources</w:t>
            </w:r>
          </w:p>
          <w:p w:rsidR="00000000" w:rsidRPr="00856B17" w:rsidP="00856B17">
            <w:pPr>
              <w:pStyle w:val="ListBullet"/>
            </w:pPr>
            <w:r w:rsidRPr="00856B17">
              <w:t>applying Work, Health and Safety (WHS)/Occupational Health and Safety (OHS) guidelines and practices</w:t>
            </w:r>
          </w:p>
          <w:p w:rsidR="00000000" w:rsidRPr="00856B17" w:rsidP="00856B17">
            <w:pPr>
              <w:pStyle w:val="ListBullet"/>
            </w:pPr>
            <w:r w:rsidRPr="00856B17">
              <w:t>collating and preparing timely, relevant and consistent information to be disseminated to a range</w:t>
            </w:r>
            <w:r w:rsidRPr="00856B17">
              <w:t xml:space="preserve"> of stakeholders to meet their individual information requirements</w:t>
            </w:r>
          </w:p>
          <w:p w:rsidR="00000000" w:rsidRPr="00856B17" w:rsidP="00856B17">
            <w:pPr>
              <w:pStyle w:val="ListBullet"/>
            </w:pPr>
            <w:r w:rsidRPr="00856B17">
              <w:t>collecting community feedback</w:t>
            </w:r>
          </w:p>
          <w:p w:rsidR="00000000" w:rsidRPr="00856B17" w:rsidP="00856B17">
            <w:pPr>
              <w:pStyle w:val="ListBullet"/>
            </w:pPr>
            <w:r w:rsidRPr="00856B17">
              <w:t>communicating and working effectively as a member of an incident management teams      to resolve the incident</w:t>
            </w:r>
          </w:p>
          <w:p w:rsidR="00000000" w:rsidRPr="00856B17" w:rsidP="00856B17">
            <w:pPr>
              <w:pStyle w:val="ListBullet"/>
            </w:pPr>
            <w:r w:rsidRPr="00856B17">
              <w:t>conducting briefing and debriefings</w:t>
            </w:r>
          </w:p>
          <w:p w:rsidR="00000000" w:rsidRPr="00856B17" w:rsidP="00856B17">
            <w:pPr>
              <w:pStyle w:val="ListBullet"/>
            </w:pPr>
            <w:r w:rsidRPr="00856B17">
              <w:t>determining public information strategies and methods of communication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developing a public information plan to meet internal requirements and external needs of the community, media and stakeholders and the incident </w:t>
            </w:r>
          </w:p>
          <w:p w:rsidR="00000000" w:rsidRPr="00856B17" w:rsidP="00856B17">
            <w:pPr>
              <w:pStyle w:val="ListBullet"/>
            </w:pPr>
            <w:r w:rsidRPr="00856B17">
              <w:t>identifying risks and constraints</w:t>
            </w:r>
          </w:p>
          <w:p w:rsidR="00000000" w:rsidRPr="00856B17" w:rsidP="00856B17">
            <w:pPr>
              <w:pStyle w:val="ListBullet"/>
            </w:pPr>
            <w:r w:rsidRPr="00856B17">
              <w:t>implem</w:t>
            </w:r>
            <w:r w:rsidRPr="00856B17">
              <w:t>enting organisational policies and procedures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liaising with communities at an incident </w:t>
            </w:r>
          </w:p>
          <w:p w:rsidR="00000000" w:rsidRPr="00856B17" w:rsidP="00856B17">
            <w:pPr>
              <w:pStyle w:val="ListBullet"/>
            </w:pPr>
            <w:r w:rsidRPr="00856B17">
              <w:t>managing a public information section at an incident including information warnings unit, media unit, community liaison and appointing media liaison officers</w:t>
            </w:r>
          </w:p>
          <w:p w:rsidR="00000000" w:rsidRPr="00856B17" w:rsidP="00856B17">
            <w:pPr>
              <w:pStyle w:val="ListBullet"/>
            </w:pPr>
            <w:r w:rsidRPr="00856B17">
              <w:t>managing t</w:t>
            </w:r>
            <w:r w:rsidRPr="00856B17">
              <w:t>he implementation of a public information plan</w:t>
            </w:r>
          </w:p>
          <w:p w:rsidR="00000000" w:rsidRPr="00856B17" w:rsidP="00856B17">
            <w:pPr>
              <w:pStyle w:val="ListBullet"/>
            </w:pPr>
            <w:r w:rsidRPr="00856B17">
              <w:t>organising and conducting community meetings to assist local groups to prepare themselves and to manage their risks</w:t>
            </w:r>
          </w:p>
          <w:p w:rsidR="00000000" w:rsidRPr="00856B17" w:rsidP="00856B17">
            <w:pPr>
              <w:pStyle w:val="ListBullet"/>
            </w:pPr>
            <w:r w:rsidRPr="00856B17">
              <w:t>working with community groups and recovery and relief organisations</w:t>
            </w:r>
          </w:p>
        </w:tc>
      </w:tr>
    </w:tbl>
    <w:p w:rsidR="00000000" w:rsidRPr="00856B17" w:rsidP="00856B17">
      <w:pPr>
        <w:pStyle w:val="NoPaddingFontSize1"/>
      </w:pPr>
    </w:p>
    <w:p w:rsidR="00000000" w:rsidRPr="00856B17" w:rsidP="00856B17">
      <w:pPr>
        <w:pStyle w:val="AllowPageBreak"/>
      </w:pPr>
    </w:p>
    <w:p w:rsidR="00000000" w:rsidRPr="00856B17" w:rsidP="00856B17">
      <w:pPr>
        <w:pStyle w:val="Heading1"/>
      </w:pPr>
      <w:bookmarkStart w:id="3" w:name="O_1031545"/>
      <w:bookmarkEnd w:id="3"/>
      <w:r w:rsidRPr="00856B17">
        <w:t>Know</w:t>
      </w:r>
      <w:r w:rsidRPr="00856B17">
        <w:t>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17">
            <w:pPr>
              <w:pStyle w:val="BodyText"/>
              <w:rPr>
                <w:lang w:val="en-NZ"/>
              </w:rPr>
            </w:pPr>
            <w:r w:rsidRPr="00856B1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17" w:rsidP="00856B17">
            <w:pPr>
              <w:pStyle w:val="ListBullet"/>
            </w:pPr>
            <w:r w:rsidRPr="00856B17">
              <w:t>Australasian Inter-service Incident Management System (AIIMS) structure and principles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collection methods and analysis of feedback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communication strategies for communities both affected and likely to be affected by an incident 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confidentiality, privacy, </w:t>
            </w:r>
            <w:r w:rsidRPr="00856B17">
              <w:t>libel and discrimination requirements</w:t>
            </w:r>
          </w:p>
          <w:p w:rsidR="00000000" w:rsidRPr="00856B17" w:rsidP="00856B17">
            <w:pPr>
              <w:pStyle w:val="ListBullet"/>
            </w:pPr>
            <w:r w:rsidRPr="00856B17">
              <w:t>constraints for disseminating public information including cultural, economic, environmental, physical, political, social and temporal</w:t>
            </w:r>
          </w:p>
          <w:p w:rsidR="00000000" w:rsidRPr="00856B17" w:rsidP="00856B17">
            <w:pPr>
              <w:pStyle w:val="ListBullet"/>
            </w:pPr>
            <w:r w:rsidRPr="00856B17">
              <w:t>current practices for media liaison with internal and external stakeholders</w:t>
            </w:r>
          </w:p>
          <w:p w:rsidR="00000000" w:rsidRPr="00856B17" w:rsidP="00856B17">
            <w:pPr>
              <w:pStyle w:val="ListBullet"/>
            </w:pPr>
            <w:r w:rsidRPr="00856B17">
              <w:t>differe</w:t>
            </w:r>
            <w:r w:rsidRPr="00856B17">
              <w:t xml:space="preserve">nt media requirements including newspapers, magazines, radio, television, internet and social media </w:t>
            </w:r>
          </w:p>
          <w:p w:rsidR="00000000" w:rsidRPr="00856B17" w:rsidP="00856B17">
            <w:pPr>
              <w:pStyle w:val="ListBullet"/>
            </w:pPr>
            <w:r w:rsidRPr="00856B17">
              <w:t>organisational documentation, policies and procedures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post incident reviews and reports </w:t>
            </w:r>
          </w:p>
          <w:p w:rsidR="00000000" w:rsidRPr="00856B17" w:rsidP="00856B17">
            <w:pPr>
              <w:pStyle w:val="ListBullet"/>
            </w:pPr>
            <w:r w:rsidRPr="00856B17">
              <w:t>processes and requirements for planning and resourcing for managin</w:t>
            </w:r>
            <w:r w:rsidRPr="00856B17">
              <w:t>g a public information section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processes for conducting briefings and debriefings </w:t>
            </w:r>
          </w:p>
          <w:p w:rsidR="00000000" w:rsidRPr="00856B17" w:rsidP="00856B17">
            <w:pPr>
              <w:pStyle w:val="ListBullet"/>
            </w:pPr>
            <w:r w:rsidRPr="00856B17">
              <w:t>public information plan requirements</w:t>
            </w:r>
          </w:p>
          <w:p w:rsidR="00000000" w:rsidRPr="00856B17" w:rsidP="00856B17">
            <w:pPr>
              <w:pStyle w:val="ListBullet"/>
            </w:pPr>
            <w:r w:rsidRPr="00856B17">
              <w:t>public information section including community liaison unit, information and warnings unit and media unit</w:t>
            </w:r>
          </w:p>
          <w:p w:rsidR="00000000" w:rsidRPr="00856B17" w:rsidP="00856B17">
            <w:pPr>
              <w:pStyle w:val="ListBullet"/>
            </w:pPr>
            <w:r w:rsidRPr="00856B17">
              <w:t>risks and constraints when dis</w:t>
            </w:r>
            <w:r w:rsidRPr="00856B17">
              <w:t xml:space="preserve">seminating public information  </w:t>
            </w:r>
          </w:p>
          <w:p w:rsidR="00000000" w:rsidRPr="00856B17" w:rsidP="00856B17">
            <w:pPr>
              <w:pStyle w:val="ListBullet"/>
            </w:pPr>
            <w:r w:rsidRPr="00856B17">
              <w:t>role of media in disseminating information to stakeholders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stakeholders and target audiences 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structure of a public information section including sub-units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techniques for analysis and dissemination play of public information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types of warnings and methods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types of warnings to affected communities and stakeholders including telephone based alerts and warnings, standard emergency warning signals, warnings via </w:t>
            </w:r>
            <w:r w:rsidRPr="00856B17">
              <w:t>media outlets and/or networks and warnings via social media</w:t>
            </w:r>
          </w:p>
        </w:tc>
      </w:tr>
    </w:tbl>
    <w:p w:rsidR="00000000" w:rsidRPr="00856B17" w:rsidP="00856B17">
      <w:pPr>
        <w:pStyle w:val="NoPaddingFontSize1"/>
      </w:pPr>
    </w:p>
    <w:p w:rsidR="00000000" w:rsidRPr="00856B17" w:rsidP="00856B17">
      <w:pPr>
        <w:pStyle w:val="AllowPageBreak"/>
      </w:pPr>
    </w:p>
    <w:p w:rsidR="00000000" w:rsidRPr="00856B17" w:rsidP="00856B17">
      <w:pPr>
        <w:pStyle w:val="Heading1"/>
      </w:pPr>
      <w:bookmarkStart w:id="4" w:name="O_1031546"/>
      <w:bookmarkEnd w:id="4"/>
      <w:r w:rsidRPr="00856B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17" w:rsidP="00856B17">
            <w:pPr>
              <w:pStyle w:val="BodyText"/>
            </w:pPr>
            <w:r w:rsidRPr="00856B17">
              <w:t>As a minimum, assessors must satisfy applicable regulatory requirements, which include requirements in the Standards for Registered Training Organisation</w:t>
            </w:r>
            <w:r w:rsidRPr="00856B17">
              <w:t xml:space="preserve">s current at the time of assessment. </w:t>
            </w:r>
          </w:p>
          <w:p w:rsidR="00000000" w:rsidRPr="00856B17" w:rsidP="00856B17">
            <w:pPr>
              <w:pStyle w:val="BodyText"/>
            </w:pPr>
            <w:r w:rsidRPr="00856B1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56B17" w:rsidP="00856B17">
            <w:pPr>
              <w:pStyle w:val="BodyText"/>
            </w:pPr>
            <w:r w:rsidRPr="00856B17">
              <w:t>Assessment processes and te</w:t>
            </w:r>
            <w:r w:rsidRPr="00856B17">
              <w:t>chniques must be appropriate to the language, literacy and numeracy requirements of the work being performed and the needs of the candidate.</w:t>
            </w:r>
          </w:p>
          <w:p w:rsidR="00000000" w:rsidRPr="00856B17" w:rsidP="00856B17">
            <w:pPr>
              <w:pStyle w:val="BodyText"/>
            </w:pPr>
            <w:r w:rsidRPr="00856B17">
              <w:t xml:space="preserve">Assessment must occur in workplace operational situations. Where this is not appropriate, assessment must occur in </w:t>
            </w:r>
            <w:r w:rsidRPr="00856B17">
              <w:t>industry approved simulated workplace operational situations that reflect workplace conditions.</w:t>
            </w:r>
          </w:p>
          <w:p w:rsidR="00000000" w:rsidRPr="00856B17" w:rsidP="00856B17">
            <w:pPr>
              <w:pStyle w:val="BodyText"/>
            </w:pPr>
            <w:r w:rsidRPr="00856B17">
              <w:t>Resources for assessment must include access to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a range of relevant exercises, case studies and/or simulations </w:t>
            </w:r>
          </w:p>
          <w:p w:rsidR="00000000" w:rsidRPr="00856B17" w:rsidP="00856B17">
            <w:pPr>
              <w:pStyle w:val="ListBullet"/>
            </w:pPr>
            <w:r w:rsidRPr="00856B17">
              <w:t xml:space="preserve">relevant and appropriate materials, equipment, tools and personal protective clothing and equipment currently used in industry </w:t>
            </w:r>
          </w:p>
          <w:p w:rsidR="00000000" w:rsidRPr="00856B17" w:rsidP="00856B17">
            <w:pPr>
              <w:pStyle w:val="ListBullet"/>
            </w:pPr>
            <w:r w:rsidRPr="00856B17">
              <w:t>applicable documentation including organisational procedures, industry standards, equipment specifications, regulations, codes o</w:t>
            </w:r>
            <w:r w:rsidRPr="00856B17">
              <w:t>f practice and operation manuals.</w:t>
            </w:r>
          </w:p>
        </w:tc>
      </w:tr>
    </w:tbl>
    <w:p w:rsidR="00000000" w:rsidRPr="00856B17" w:rsidP="00856B17">
      <w:pPr>
        <w:pStyle w:val="NoPaddingFontSize1"/>
      </w:pPr>
    </w:p>
    <w:p w:rsidR="00000000" w:rsidRPr="00856B17" w:rsidP="00856B17">
      <w:pPr>
        <w:pStyle w:val="AllowPageBreak"/>
      </w:pPr>
    </w:p>
    <w:p w:rsidR="00000000" w:rsidRPr="00856B17" w:rsidP="00856B17">
      <w:pPr>
        <w:pStyle w:val="Heading1"/>
      </w:pPr>
      <w:bookmarkStart w:id="5" w:name="O_1031549"/>
      <w:bookmarkEnd w:id="5"/>
      <w:r w:rsidRPr="00856B17">
        <w:t>Links</w:t>
      </w:r>
    </w:p>
    <w:p w:rsidR="00000000" w:rsidRPr="00856B17" w:rsidP="00541C10">
      <w:pPr>
        <w:pStyle w:val="BodyText"/>
      </w:pPr>
      <w:r w:rsidRPr="00856B1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C407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56B17" w:rsidP="00856B17"/>
    <w:sectPr w:rsidSect="00856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7" w:rsidRPr="00541C10" w:rsidP="00541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10" w:rsidP="00856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C10" w:rsidP="00856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1C10" w:rsidP="00856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B17" w:rsidRPr="00541C10" w:rsidP="00541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10" w:rsidRPr="002D2AF8" w:rsidP="00856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PUAOPE003 Manage the public information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41C10" w:rsidP="00856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C2E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27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B17"/>
  </w:style>
  <w:style w:type="character" w:customStyle="1" w:styleId="Heading1Char">
    <w:name w:val="Heading 1 Char"/>
    <w:basedOn w:val="DefaultParagraphFont"/>
    <w:link w:val="Heading1"/>
    <w:rsid w:val="00856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B17"/>
    <w:rPr>
      <w:b/>
      <w:spacing w:val="0"/>
    </w:rPr>
  </w:style>
  <w:style w:type="paragraph" w:customStyle="1" w:styleId="SuperHeading">
    <w:name w:val="SuperHeading"/>
    <w:basedOn w:val="Normal"/>
    <w:rsid w:val="00856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6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B17"/>
    <w:rPr>
      <w:i/>
    </w:rPr>
  </w:style>
  <w:style w:type="paragraph" w:styleId="Caption">
    <w:name w:val="caption"/>
    <w:basedOn w:val="BodyText"/>
    <w:next w:val="Normal"/>
    <w:qFormat/>
    <w:rsid w:val="00856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B17"/>
  </w:style>
  <w:style w:type="paragraph" w:styleId="TableofFigures">
    <w:name w:val="table of figures"/>
    <w:basedOn w:val="Normal"/>
    <w:next w:val="Normal"/>
    <w:semiHidden/>
    <w:rsid w:val="00856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B17"/>
    <w:rPr>
      <w:rFonts w:ascii="Wingdings" w:hAnsi="Wingdings"/>
    </w:rPr>
  </w:style>
  <w:style w:type="paragraph" w:customStyle="1" w:styleId="TableHeading">
    <w:name w:val="Table Heading"/>
    <w:basedOn w:val="HeadingBase"/>
    <w:rsid w:val="00856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B17"/>
    <w:rPr>
      <w:color w:val="0033CC"/>
      <w:u w:val="none"/>
    </w:rPr>
  </w:style>
  <w:style w:type="paragraph" w:customStyle="1" w:styleId="BodyTextRight">
    <w:name w:val="Body Text Right"/>
    <w:basedOn w:val="BodyText"/>
    <w:rsid w:val="00856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B17"/>
    <w:rPr>
      <w:sz w:val="32"/>
    </w:rPr>
  </w:style>
  <w:style w:type="paragraph" w:customStyle="1" w:styleId="HeadingProcedure">
    <w:name w:val="Heading Procedure"/>
    <w:basedOn w:val="HeadingBase"/>
    <w:next w:val="Normal"/>
    <w:rsid w:val="00856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B17"/>
    <w:pPr>
      <w:spacing w:before="60" w:after="60"/>
    </w:pPr>
  </w:style>
  <w:style w:type="paragraph" w:styleId="ListContinue">
    <w:name w:val="List Continue"/>
    <w:basedOn w:val="List"/>
    <w:rsid w:val="00856B17"/>
    <w:pPr>
      <w:ind w:firstLine="0"/>
    </w:pPr>
  </w:style>
  <w:style w:type="paragraph" w:customStyle="1" w:styleId="ListNote">
    <w:name w:val="List Note"/>
    <w:basedOn w:val="List"/>
    <w:rsid w:val="00856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B17"/>
    <w:rPr>
      <w:rFonts w:ascii="Courier New" w:hAnsi="Courier New"/>
    </w:rPr>
  </w:style>
  <w:style w:type="paragraph" w:customStyle="1" w:styleId="NoteBullet">
    <w:name w:val="Note Bullet"/>
    <w:basedOn w:val="Note"/>
    <w:rsid w:val="00856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B17"/>
    <w:rPr>
      <w:b/>
      <w:smallCaps/>
    </w:rPr>
  </w:style>
  <w:style w:type="paragraph" w:customStyle="1" w:styleId="TableListNumber">
    <w:name w:val="Table List Number"/>
    <w:basedOn w:val="ListNumber"/>
    <w:rsid w:val="00856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B17"/>
    <w:pPr>
      <w:numPr>
        <w:numId w:val="8"/>
      </w:numPr>
    </w:pPr>
  </w:style>
  <w:style w:type="paragraph" w:customStyle="1" w:styleId="ListAlpha2">
    <w:name w:val="List Alpha 2"/>
    <w:basedOn w:val="List2"/>
    <w:rsid w:val="00856B17"/>
    <w:pPr>
      <w:numPr>
        <w:numId w:val="7"/>
      </w:numPr>
    </w:pPr>
  </w:style>
  <w:style w:type="paragraph" w:styleId="List2">
    <w:name w:val="List 2"/>
    <w:basedOn w:val="BodyText"/>
    <w:rsid w:val="00856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B17"/>
    <w:pPr>
      <w:numPr>
        <w:numId w:val="3"/>
      </w:numPr>
    </w:pPr>
  </w:style>
  <w:style w:type="paragraph" w:styleId="ListContinue2">
    <w:name w:val="List Continue 2"/>
    <w:basedOn w:val="List2"/>
    <w:rsid w:val="00856B17"/>
    <w:pPr>
      <w:ind w:firstLine="0"/>
    </w:pPr>
  </w:style>
  <w:style w:type="paragraph" w:styleId="ListContinue3">
    <w:name w:val="List Continue 3"/>
    <w:basedOn w:val="List3"/>
    <w:rsid w:val="00856B17"/>
    <w:pPr>
      <w:ind w:left="1021" w:firstLine="0"/>
    </w:pPr>
  </w:style>
  <w:style w:type="paragraph" w:styleId="ListContinue4">
    <w:name w:val="List Continue 4"/>
    <w:basedOn w:val="List4"/>
    <w:rsid w:val="00856B17"/>
    <w:pPr>
      <w:ind w:firstLine="0"/>
    </w:pPr>
  </w:style>
  <w:style w:type="paragraph" w:styleId="ListContinue5">
    <w:name w:val="List Continue 5"/>
    <w:basedOn w:val="List5"/>
    <w:rsid w:val="00856B17"/>
    <w:pPr>
      <w:ind w:firstLine="0"/>
    </w:pPr>
  </w:style>
  <w:style w:type="paragraph" w:styleId="ListNumber3">
    <w:name w:val="List Number 3"/>
    <w:basedOn w:val="List3"/>
    <w:rsid w:val="00856B17"/>
    <w:pPr>
      <w:numPr>
        <w:numId w:val="4"/>
      </w:numPr>
    </w:pPr>
  </w:style>
  <w:style w:type="paragraph" w:styleId="ListNumber4">
    <w:name w:val="List Number 4"/>
    <w:basedOn w:val="List4"/>
    <w:rsid w:val="00856B17"/>
    <w:pPr>
      <w:numPr>
        <w:numId w:val="5"/>
      </w:numPr>
    </w:pPr>
  </w:style>
  <w:style w:type="paragraph" w:styleId="ListNumber5">
    <w:name w:val="List Number 5"/>
    <w:basedOn w:val="List5"/>
    <w:rsid w:val="00856B17"/>
    <w:pPr>
      <w:numPr>
        <w:numId w:val="6"/>
      </w:numPr>
    </w:pPr>
  </w:style>
  <w:style w:type="paragraph" w:styleId="BlockText">
    <w:name w:val="Block Text"/>
    <w:basedOn w:val="Normal"/>
    <w:rsid w:val="00856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B17"/>
    <w:rPr>
      <w:sz w:val="16"/>
      <w:vertAlign w:val="superscript"/>
    </w:rPr>
  </w:style>
  <w:style w:type="character" w:customStyle="1" w:styleId="Symbols">
    <w:name w:val="Symbols"/>
    <w:basedOn w:val="DefaultParagraphFont"/>
    <w:rsid w:val="00856B17"/>
    <w:rPr>
      <w:rFonts w:ascii="Symbol" w:hAnsi="Symbol"/>
    </w:rPr>
  </w:style>
  <w:style w:type="character" w:customStyle="1" w:styleId="MenuOptions">
    <w:name w:val="Menu Options"/>
    <w:basedOn w:val="DefaultParagraphFont"/>
    <w:rsid w:val="00856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B17"/>
    <w:rPr>
      <w:b/>
    </w:rPr>
  </w:style>
  <w:style w:type="character" w:customStyle="1" w:styleId="Underlined">
    <w:name w:val="Underlined"/>
    <w:basedOn w:val="DefaultParagraphFont"/>
    <w:rsid w:val="00856B17"/>
    <w:rPr>
      <w:u w:val="single"/>
    </w:rPr>
  </w:style>
  <w:style w:type="paragraph" w:customStyle="1" w:styleId="TableBodyTextRight">
    <w:name w:val="Table Body Text Right"/>
    <w:basedOn w:val="TableBodyText"/>
    <w:rsid w:val="00856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B17"/>
    <w:rPr>
      <w:sz w:val="18"/>
    </w:rPr>
  </w:style>
  <w:style w:type="paragraph" w:customStyle="1" w:styleId="BodySmallRight">
    <w:name w:val="Body Small Right"/>
    <w:basedOn w:val="BodyTextRight"/>
    <w:rsid w:val="00856B17"/>
    <w:rPr>
      <w:sz w:val="18"/>
      <w:szCs w:val="18"/>
    </w:rPr>
  </w:style>
  <w:style w:type="paragraph" w:customStyle="1" w:styleId="MarginEdition">
    <w:name w:val="Margin Edition"/>
    <w:basedOn w:val="MarginNote"/>
    <w:rsid w:val="00856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B17"/>
    <w:rPr>
      <w:sz w:val="2"/>
      <w:szCs w:val="2"/>
    </w:rPr>
  </w:style>
  <w:style w:type="character" w:customStyle="1" w:styleId="Small">
    <w:name w:val="Small"/>
    <w:basedOn w:val="DefaultParagraphFont"/>
    <w:rsid w:val="00856B17"/>
    <w:rPr>
      <w:sz w:val="16"/>
    </w:rPr>
  </w:style>
  <w:style w:type="paragraph" w:customStyle="1" w:styleId="WideTable">
    <w:name w:val="Wide Table"/>
    <w:basedOn w:val="Normal"/>
    <w:rsid w:val="00856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B17"/>
  </w:style>
  <w:style w:type="paragraph" w:styleId="Quote">
    <w:name w:val="Quote"/>
    <w:basedOn w:val="Heading1"/>
    <w:link w:val="QuoteChar"/>
    <w:qFormat/>
    <w:rsid w:val="00856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B17"/>
    <w:pPr>
      <w:pageBreakBefore/>
    </w:pPr>
  </w:style>
  <w:style w:type="paragraph" w:customStyle="1" w:styleId="Border">
    <w:name w:val="Border"/>
    <w:basedOn w:val="Normal"/>
    <w:qFormat/>
    <w:rsid w:val="00856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B17"/>
    <w:rPr>
      <w:u w:val="single"/>
    </w:rPr>
  </w:style>
  <w:style w:type="character" w:customStyle="1" w:styleId="BoldandItalics">
    <w:name w:val="Bold and Italics"/>
    <w:qFormat/>
    <w:rsid w:val="00856B17"/>
    <w:rPr>
      <w:b/>
      <w:i/>
      <w:u w:val="none"/>
    </w:rPr>
  </w:style>
  <w:style w:type="paragraph" w:styleId="BalloonText">
    <w:name w:val="Balloon Text"/>
    <w:basedOn w:val="Normal"/>
    <w:link w:val="BalloonTextChar"/>
    <w:rsid w:val="00856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B17"/>
    <w:pPr>
      <w:spacing w:before="0" w:after="0"/>
    </w:pPr>
  </w:style>
  <w:style w:type="paragraph" w:customStyle="1" w:styleId="BodyTextBold">
    <w:name w:val="Body Text Bold"/>
    <w:basedOn w:val="BodyText"/>
    <w:qFormat/>
    <w:rsid w:val="00856B17"/>
    <w:rPr>
      <w:b/>
    </w:rPr>
  </w:style>
  <w:style w:type="character" w:styleId="Hyperlink">
    <w:name w:val="Hyperlink"/>
    <w:basedOn w:val="DefaultParagraphFont"/>
    <w:uiPriority w:val="99"/>
    <w:unhideWhenUsed/>
    <w:rsid w:val="00541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4423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PUAOPE003 Manage the public information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