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05C" w:rsidP="00CA105C">
      <w:pPr>
        <w:pStyle w:val="Title"/>
      </w:pPr>
      <w:r>
        <w:fldChar w:fldCharType="begin"/>
      </w:r>
      <w:r>
        <w:instrText xml:space="preserve"> TITLE   \* MERGEFORMAT </w:instrText>
      </w:r>
      <w:r>
        <w:fldChar w:fldCharType="separate"/>
      </w:r>
      <w:r>
        <w:t>PUAOIL404 Apply decision making strategies in an oil spill response</w:t>
      </w:r>
      <w:r>
        <w:fldChar w:fldCharType="end"/>
      </w:r>
    </w:p>
    <w:p w:rsidR="00CA105C" w:rsidP="00CA105C">
      <w:pPr>
        <w:pStyle w:val="Version"/>
        <w:sectPr w:rsidSect="002646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671" w:rsidP="00264671">
      <w:pPr>
        <w:pStyle w:val="SuperHeading"/>
      </w:pPr>
      <w:r w:rsidRPr="00264671">
        <w:t>PUAOIL404 Apply decision making strategies in an oil spill response</w:t>
      </w:r>
    </w:p>
    <w:p w:rsidR="00000000" w:rsidRPr="00264671" w:rsidP="00264671">
      <w:pPr>
        <w:pStyle w:val="Heading1"/>
      </w:pPr>
      <w:bookmarkStart w:id="1" w:name="O_1031438"/>
      <w:bookmarkEnd w:id="1"/>
      <w:r w:rsidRPr="00264671">
        <w:t>Modification History</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Release 1.</w:t>
            </w:r>
            <w:r w:rsidRPr="00264671">
              <w:t xml:space="preserve"> This is the first release of this unit of competency in the Public Safety Training Package.</w:t>
            </w:r>
          </w:p>
        </w:tc>
      </w:tr>
    </w:tbl>
    <w:p w:rsidR="00CA105C" w:rsidP="00264671">
      <w:pPr>
        <w:pStyle w:val="NoPaddingFontSize1"/>
      </w:pPr>
    </w:p>
    <w:p w:rsidR="00CA105C" w:rsidP="00264671">
      <w:pPr>
        <w:pStyle w:val="NoPaddingFontSize1"/>
      </w:pPr>
    </w:p>
    <w:p w:rsidR="00000000" w:rsidRPr="00264671" w:rsidP="00264671">
      <w:pPr>
        <w:pStyle w:val="Heading1"/>
      </w:pPr>
      <w:bookmarkStart w:id="2" w:name="O_1031439"/>
      <w:bookmarkEnd w:id="2"/>
      <w:r w:rsidRPr="00264671">
        <w:t>Application</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This unit of competency involves the skills and knowledge required to make strategic, planning and operational decisions in an oil spill response.</w:t>
            </w:r>
          </w:p>
          <w:p w:rsidR="00000000" w:rsidRPr="00264671" w:rsidP="00264671">
            <w:pPr>
              <w:pStyle w:val="BodyText"/>
            </w:pPr>
            <w:r w:rsidRPr="00264671">
              <w:t>The unit is applicable to personnel working in functional management roles within an incident management team</w:t>
            </w:r>
            <w:r w:rsidRPr="00264671">
              <w:t xml:space="preserve"> who have the responsibility for ensuring the viability and success of a marine pollution, oil spill, response.</w:t>
            </w:r>
          </w:p>
          <w:p w:rsidR="00000000" w:rsidRPr="00264671" w:rsidP="00264671">
            <w:pPr>
              <w:pStyle w:val="BodyText"/>
            </w:pPr>
            <w:r w:rsidRPr="00264671">
              <w:t>No licensing, legislative or certification requirements apply to this unit at the time of publication.</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3" w:name="O_1031440"/>
      <w:bookmarkEnd w:id="3"/>
      <w:r w:rsidRPr="00264671">
        <w:t>Pre-requisite Unit</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N</w:t>
            </w:r>
            <w:r w:rsidRPr="00264671">
              <w:t>ot applicable</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4" w:name="O_1031441"/>
      <w:bookmarkEnd w:id="4"/>
      <w:r w:rsidRPr="00264671">
        <w:t>Competency Field</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Marine Pollution Response</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5" w:name="O_1031442"/>
      <w:bookmarkEnd w:id="5"/>
      <w:r w:rsidRPr="00264671">
        <w:t>Unit Sector</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Not applicable</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6" w:name="O_1031443"/>
      <w:bookmarkEnd w:id="6"/>
      <w:r w:rsidRPr="0026467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646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PERFORMANCE CRITERIA</w:t>
            </w:r>
          </w:p>
        </w:tc>
      </w:tr>
      <w:tr w:rsidTr="0026467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Performance criteria describe the performance needed to demonstrate achievement of the element.</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Establish context of spill</w:t>
            </w: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Gather intelligence to determine size and impact of   marine pollution situation</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Identify character and behaviour of</w:t>
            </w:r>
            <w:r w:rsidRPr="00264671">
              <w:t xml:space="preserve"> the oil spill</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Consult and involve appropriate specialists or advisors in establishing the context of the oil spill</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Identify and confirm oil spill response objectives</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Provide accurate, timely and relevant communication about the oil</w:t>
            </w:r>
            <w:r w:rsidRPr="00264671">
              <w:t xml:space="preserve"> spill to stakeholders</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Consider response options for</w:t>
            </w:r>
            <w:r w:rsidRPr="00264671">
              <w:t xml:space="preserve"> </w:t>
            </w:r>
            <w:r w:rsidRPr="00264671">
              <w:rPr>
                <w:rStyle w:val="SpecialBold"/>
              </w:rPr>
              <w:t>a decision</w:t>
            </w: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Identify and review available response options to the oil spill</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 xml:space="preserve">Review strengths and weakness of options with appropriate specialists or advisors </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Determine risk areas and levels of risk in accordance with organisational procedures and Work, Health and Safety (WHS)/ Occupational Health and Safety (OHS) requirements</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Determine and select best response options based on critical factors</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Det</w:t>
            </w:r>
            <w:r w:rsidRPr="00264671">
              <w:t>ermine the scale of response to the oil spill</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Document decision making processes in response to the oil spill</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Implement response</w:t>
            </w: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Develop response plans for selected options, in accordance with organisational procedures and WHS/OHS requirements</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 xml:space="preserve">Develop an incident action plan </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Communicate proposed response actions to relevant personnel and stakeholders</w:t>
            </w:r>
          </w:p>
        </w:tc>
      </w:tr>
      <w:tr w:rsidTr="0026467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6467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Monitor an</w:t>
            </w:r>
            <w:r w:rsidRPr="00264671">
              <w:t>d review response actions and modify, as appropriate, in response to changing circumstances</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7" w:name="O_1031444"/>
      <w:bookmarkEnd w:id="7"/>
      <w:r w:rsidRPr="00264671">
        <w:t>Foundation Skills</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Foundation skills essential to performance are explicit in the performance criteria of this unit of competency.</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8" w:name="O_1031445"/>
      <w:bookmarkEnd w:id="8"/>
      <w:r w:rsidRPr="00264671">
        <w:t>Range of Conditions</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 xml:space="preserve">Range is restricted to essential operating conditions and any other variables essential to the work </w:t>
            </w:r>
            <w:r w:rsidRPr="00264671">
              <w:t>environment.</w:t>
            </w:r>
          </w:p>
          <w:p w:rsidR="00000000" w:rsidRPr="00264671" w:rsidP="00264671">
            <w:pPr>
              <w:pStyle w:val="BodyText"/>
            </w:pPr>
            <w:r w:rsidRPr="00264671">
              <w:t>Non-essential conditions may be found in the Companion Volume Implementation Guide.</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9" w:name="O_1031446"/>
      <w:bookmarkEnd w:id="9"/>
      <w:r w:rsidRPr="00264671">
        <w:t>Unit Mapp</w:t>
      </w:r>
      <w:r w:rsidRPr="00264671">
        <w:t>ing Information</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This unit replaces and is equivalent to PUAOIL401 Apply decision making strategies in an oil spill response.</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10" w:name="O_1031453"/>
      <w:bookmarkEnd w:id="10"/>
      <w:r w:rsidRPr="00264671">
        <w:t>Links</w:t>
      </w:r>
    </w:p>
    <w:p w:rsidR="00000000" w:rsidRPr="00264671" w:rsidP="00CA105C">
      <w:pPr>
        <w:pStyle w:val="BodyText"/>
      </w:pPr>
      <w:r w:rsidRPr="0026467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5386D">
        <w:rPr>
          <w:rStyle w:val="Hyperlink"/>
        </w:rPr>
        <w:t>https://vetnet.gov.au/Pages/TrainingDocs.aspx?q=3eca5672-6d5a-410b-8942-810d0ba05bbf</w:t>
      </w:r>
      <w:r>
        <w:fldChar w:fldCharType="end"/>
      </w:r>
    </w:p>
    <w:p w:rsidR="00000000" w:rsidRPr="00264671" w:rsidP="00CA105C">
      <w:pPr>
        <w:pStyle w:val="BodyText"/>
        <w:sectPr w:rsidSect="00264671">
          <w:headerReference w:type="default" r:id="rId10"/>
          <w:footerReference w:type="default" r:id="rId11"/>
          <w:pgSz w:w="11908" w:h="16833"/>
          <w:pgMar w:top="1702" w:right="1418" w:bottom="1702" w:left="1418" w:header="992" w:footer="992" w:gutter="0"/>
          <w:cols w:space="720"/>
          <w:noEndnote/>
          <w:docGrid w:linePitch="299"/>
        </w:sectPr>
      </w:pPr>
    </w:p>
    <w:p w:rsidR="00000000" w:rsidRPr="00264671" w:rsidP="00264671">
      <w:pPr>
        <w:pStyle w:val="SuperHeading"/>
      </w:pPr>
      <w:r w:rsidRPr="00264671">
        <w:t>Assessment Requirements for PUAOIL404 Apply decision making strategies in an oil spill response</w:t>
      </w:r>
    </w:p>
    <w:p w:rsidR="00000000" w:rsidRPr="00264671" w:rsidP="00264671">
      <w:pPr>
        <w:pStyle w:val="Heading1"/>
      </w:pPr>
      <w:bookmarkStart w:id="11" w:name="O_1031448"/>
      <w:bookmarkEnd w:id="11"/>
      <w:r w:rsidRPr="00264671">
        <w:t>Modification History</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rPr>
                <w:rStyle w:val="SpecialBold"/>
              </w:rPr>
              <w:t>Release 1.</w:t>
            </w:r>
            <w:r w:rsidRPr="00264671">
              <w:t xml:space="preserve"> This is the first release of this unit of competency in the PUA Public Safety Training Package.</w:t>
            </w:r>
          </w:p>
        </w:tc>
      </w:tr>
    </w:tbl>
    <w:p w:rsidR="00000000" w:rsidRPr="00264671" w:rsidP="00264671">
      <w:pPr>
        <w:pStyle w:val="NoPaddingFontSize1"/>
      </w:pPr>
    </w:p>
    <w:p w:rsidR="00000000" w:rsidRPr="00264671" w:rsidP="00264671">
      <w:pPr>
        <w:pStyle w:val="AllowPageBreak"/>
      </w:pPr>
    </w:p>
    <w:p w:rsidR="00000000" w:rsidRPr="00264671" w:rsidP="00264671">
      <w:pPr>
        <w:pStyle w:val="Heading1"/>
      </w:pPr>
      <w:bookmarkStart w:id="12" w:name="O_1031449"/>
      <w:bookmarkEnd w:id="12"/>
      <w:r w:rsidRPr="00264671">
        <w:t>Performance Evidence</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 xml:space="preserve">Evidence required to demonstrate competence in this unit must be relevant to and satisfy all the requirements of the </w:t>
            </w:r>
            <w:r w:rsidRPr="00264671">
              <w:t xml:space="preserve">elements and performance criteria on at least one occasion and includes </w:t>
            </w:r>
          </w:p>
        </w:tc>
      </w:tr>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ListBullet"/>
            </w:pPr>
            <w:r w:rsidRPr="00264671">
              <w:t>applying Work, Health and Safety (WHS)/Occupational Health and Safety (OHS) requirements</w:t>
            </w:r>
          </w:p>
          <w:p w:rsidR="00000000" w:rsidRPr="00264671" w:rsidP="00264671">
            <w:pPr>
              <w:pStyle w:val="ListBullet"/>
            </w:pPr>
            <w:r w:rsidRPr="00264671">
              <w:t xml:space="preserve">communicating with stakeholders through the incident action plan </w:t>
            </w:r>
          </w:p>
          <w:p w:rsidR="00000000" w:rsidRPr="00264671" w:rsidP="00264671">
            <w:pPr>
              <w:pStyle w:val="ListBullet"/>
            </w:pPr>
            <w:r w:rsidRPr="00264671">
              <w:t>considering response optio</w:t>
            </w:r>
            <w:r w:rsidRPr="00264671">
              <w:t>ns when making decisions</w:t>
            </w:r>
          </w:p>
          <w:p w:rsidR="00000000" w:rsidRPr="00264671" w:rsidP="00264671">
            <w:pPr>
              <w:pStyle w:val="ListBullet"/>
            </w:pPr>
            <w:r w:rsidRPr="00264671">
              <w:t>establishing and communicating oil spill response objectives</w:t>
            </w:r>
          </w:p>
          <w:p w:rsidR="00000000" w:rsidRPr="00264671" w:rsidP="00264671">
            <w:pPr>
              <w:pStyle w:val="ListBullet"/>
            </w:pPr>
            <w:r w:rsidRPr="00264671">
              <w:t>establishing context of oil spill including collecting intelligence</w:t>
            </w:r>
          </w:p>
          <w:p w:rsidR="00000000" w:rsidRPr="00264671" w:rsidP="00264671">
            <w:pPr>
              <w:pStyle w:val="ListBullet"/>
            </w:pPr>
            <w:r w:rsidRPr="00264671">
              <w:t>implementing a response and scaling appropriately</w:t>
            </w:r>
          </w:p>
          <w:p w:rsidR="00000000" w:rsidRPr="00264671" w:rsidP="00264671">
            <w:pPr>
              <w:pStyle w:val="ListBullet"/>
            </w:pPr>
            <w:r w:rsidRPr="00264671">
              <w:t xml:space="preserve">implementing response plans </w:t>
            </w:r>
          </w:p>
          <w:p w:rsidR="00000000" w:rsidRPr="00264671" w:rsidP="00264671">
            <w:pPr>
              <w:pStyle w:val="ListBullet"/>
            </w:pPr>
            <w:r w:rsidRPr="00264671">
              <w:t>interpreting details of a management plan which includes stakeholder analysis, explanation of the risk context, critical success factors, identified and analysed risks and treatments for prioritised risks</w:t>
            </w:r>
          </w:p>
          <w:p w:rsidR="00000000" w:rsidRPr="00264671" w:rsidP="00264671">
            <w:pPr>
              <w:pStyle w:val="ListBullet"/>
            </w:pPr>
            <w:r w:rsidRPr="00264671">
              <w:t>monitoring arrangements for risk management plan in</w:t>
            </w:r>
            <w:r w:rsidRPr="00264671">
              <w:t>cluding the evaluation of treatments for risks</w:t>
            </w:r>
          </w:p>
          <w:p w:rsidR="00000000" w:rsidRPr="00264671" w:rsidP="00264671">
            <w:pPr>
              <w:pStyle w:val="ListBullet"/>
            </w:pPr>
            <w:r w:rsidRPr="00264671">
              <w:t>solving problems appropriate to identified risks</w:t>
            </w:r>
          </w:p>
          <w:p w:rsidR="00000000" w:rsidRPr="00264671" w:rsidP="00264671">
            <w:pPr>
              <w:pStyle w:val="ListBullet"/>
            </w:pPr>
            <w:r w:rsidRPr="00264671">
              <w:t>sourcing of intelligence including tides, currents and weather forecasts</w:t>
            </w:r>
          </w:p>
          <w:p w:rsidR="00000000" w:rsidRPr="00264671" w:rsidP="00264671">
            <w:pPr>
              <w:pStyle w:val="ListBullet"/>
            </w:pPr>
            <w:r w:rsidRPr="00264671">
              <w:t>undertaking critical analysis of oil spill incident and determining critical factors in</w:t>
            </w:r>
            <w:r w:rsidRPr="00264671">
              <w:t>cluding appropriate approvals, environment, health and safety of responders and community and minimisation of impact</w:t>
            </w:r>
          </w:p>
        </w:tc>
      </w:tr>
    </w:tbl>
    <w:p w:rsidR="00CA105C" w:rsidP="00264671">
      <w:pPr>
        <w:pStyle w:val="NoPaddingFontSize1"/>
      </w:pPr>
    </w:p>
    <w:p w:rsidR="00CA105C" w:rsidP="00264671">
      <w:pPr>
        <w:pStyle w:val="NoPaddingFontSize1"/>
      </w:pPr>
    </w:p>
    <w:p w:rsidR="00000000" w:rsidRPr="00264671" w:rsidP="00264671">
      <w:pPr>
        <w:pStyle w:val="Heading1"/>
      </w:pPr>
      <w:bookmarkStart w:id="13" w:name="O_1031450"/>
      <w:bookmarkEnd w:id="13"/>
      <w:r w:rsidRPr="00264671">
        <w:t>Knowledge Evidence</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4671">
            <w:pPr>
              <w:pStyle w:val="BodyText"/>
              <w:rPr>
                <w:lang w:val="en-NZ"/>
              </w:rPr>
            </w:pPr>
            <w:r w:rsidRPr="00264671">
              <w:t>Evidence required to demonstrate competence in this unit must be relevant to and satisfy all the r</w:t>
            </w:r>
            <w:r w:rsidRPr="00264671">
              <w:t>equirements of the elements and performance criteria and includes knowledge of</w:t>
            </w:r>
          </w:p>
        </w:tc>
      </w:tr>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ListBullet"/>
            </w:pPr>
            <w:r w:rsidRPr="00264671">
              <w:t xml:space="preserve">behaviour of oil including </w:t>
            </w:r>
          </w:p>
          <w:p w:rsidR="00000000" w:rsidRPr="00264671" w:rsidP="00264671">
            <w:pPr>
              <w:pStyle w:val="ListBullet2"/>
            </w:pPr>
            <w:r w:rsidRPr="00264671">
              <w:t>movement of oil including volume, spread, drift, area of coverage, percentage, coverage, rate of flow, flow continuing, and flow stopped</w:t>
            </w:r>
          </w:p>
          <w:p w:rsidR="00000000" w:rsidRPr="00264671" w:rsidP="00264671">
            <w:pPr>
              <w:pStyle w:val="ListBullet2"/>
            </w:pPr>
            <w:r w:rsidRPr="00264671">
              <w:t>weathering and influence on oil character including spreading, evaporation, emulsification (mousse formation), dispersion, dissolution, sinking and sedimentation, biodegradation and photo-oxidation</w:t>
            </w:r>
          </w:p>
          <w:p w:rsidR="00000000" w:rsidRPr="00264671" w:rsidP="00264671">
            <w:pPr>
              <w:pStyle w:val="ListBullet"/>
            </w:pPr>
            <w:r w:rsidRPr="00264671">
              <w:t>character of oil including</w:t>
            </w:r>
          </w:p>
          <w:p w:rsidR="00000000" w:rsidRPr="00264671" w:rsidP="00264671">
            <w:pPr>
              <w:pStyle w:val="ListBullet2"/>
            </w:pPr>
            <w:r w:rsidRPr="00264671">
              <w:t>chemical characteristics incl</w:t>
            </w:r>
            <w:r w:rsidRPr="00264671">
              <w:t>uding aromatic content, aliphatic content, asphaltene content and wax content</w:t>
            </w:r>
          </w:p>
          <w:p w:rsidR="00000000" w:rsidRPr="00264671" w:rsidP="00264671">
            <w:pPr>
              <w:pStyle w:val="ListBullet2"/>
            </w:pPr>
            <w:r w:rsidRPr="00264671">
              <w:t>oil character influence on response options including selection of response equipment and amenability to chemical dispersion</w:t>
            </w:r>
          </w:p>
          <w:p w:rsidR="00000000" w:rsidRPr="00264671" w:rsidP="00264671">
            <w:pPr>
              <w:pStyle w:val="ListBullet2"/>
            </w:pPr>
            <w:r w:rsidRPr="00264671">
              <w:t>physical characteristics such as flash point, pour point, in relation to surface water temperature, solubility, density (API gravity or specific gravity), in relation to density of sea water, viscosity, viscous or non-viscous, thickness, stickiness, in rel</w:t>
            </w:r>
            <w:r w:rsidRPr="00264671">
              <w:t>ation to adherence to physical structures or habitats and persistence</w:t>
            </w:r>
          </w:p>
          <w:p w:rsidR="00000000" w:rsidRPr="00264671" w:rsidP="00264671">
            <w:pPr>
              <w:pStyle w:val="ListBullet"/>
            </w:pPr>
            <w:r w:rsidRPr="00264671">
              <w:t>context of the oil spill including location, environmental sensitivity, estuaries, wildlife habitats, tourism, indigenous culture and business and industry</w:t>
            </w:r>
          </w:p>
          <w:p w:rsidR="00000000" w:rsidRPr="00264671" w:rsidP="00264671">
            <w:pPr>
              <w:pStyle w:val="ListBullet"/>
            </w:pPr>
            <w:r w:rsidRPr="00264671">
              <w:t>legislation, codes of practic</w:t>
            </w:r>
            <w:r w:rsidRPr="00264671">
              <w:t>e and industry standards</w:t>
            </w:r>
          </w:p>
          <w:p w:rsidR="00000000" w:rsidRPr="00264671" w:rsidP="00264671">
            <w:pPr>
              <w:pStyle w:val="ListBullet"/>
            </w:pPr>
            <w:r w:rsidRPr="00264671">
              <w:t xml:space="preserve">limitations and benefits of oil spill response equipment </w:t>
            </w:r>
          </w:p>
          <w:p w:rsidR="00000000" w:rsidRPr="00264671" w:rsidP="00264671">
            <w:pPr>
              <w:pStyle w:val="ListBullet"/>
            </w:pPr>
            <w:r w:rsidRPr="00264671">
              <w:t xml:space="preserve">management of health and safety issues  </w:t>
            </w:r>
          </w:p>
          <w:p w:rsidR="00000000" w:rsidRPr="00264671" w:rsidP="00264671">
            <w:pPr>
              <w:pStyle w:val="ListBullet"/>
            </w:pPr>
            <w:r w:rsidRPr="00264671">
              <w:t>oil spill context, oil types, spill behaviours and effects within the marine environment</w:t>
            </w:r>
          </w:p>
          <w:p w:rsidR="00000000" w:rsidRPr="00264671" w:rsidP="00264671">
            <w:pPr>
              <w:pStyle w:val="ListBullet"/>
            </w:pPr>
            <w:r w:rsidRPr="00264671">
              <w:t xml:space="preserve">organisational documentation, policies and </w:t>
            </w:r>
            <w:r w:rsidRPr="00264671">
              <w:t>procedures</w:t>
            </w:r>
          </w:p>
          <w:p w:rsidR="00000000" w:rsidRPr="00264671" w:rsidP="00264671">
            <w:pPr>
              <w:pStyle w:val="ListBullet"/>
            </w:pPr>
            <w:r w:rsidRPr="00264671">
              <w:t xml:space="preserve">response options taking into account </w:t>
            </w:r>
          </w:p>
          <w:p w:rsidR="00000000" w:rsidRPr="00264671" w:rsidP="00264671">
            <w:pPr>
              <w:pStyle w:val="ListBullet2"/>
            </w:pPr>
            <w:r w:rsidRPr="00264671">
              <w:t xml:space="preserve">critical factors </w:t>
            </w:r>
          </w:p>
          <w:p w:rsidR="00000000" w:rsidRPr="00264671" w:rsidP="00264671">
            <w:pPr>
              <w:pStyle w:val="ListBullet2"/>
            </w:pPr>
            <w:r w:rsidRPr="00264671">
              <w:t>response options including monitor and evaluate, contain and recover, protect and deflect, shoreline clean up and waste management</w:t>
            </w:r>
          </w:p>
          <w:p w:rsidR="00000000" w:rsidRPr="00264671" w:rsidP="00264671">
            <w:pPr>
              <w:pStyle w:val="ListBullet2"/>
            </w:pPr>
            <w:r w:rsidRPr="00264671">
              <w:t>scale of response including magnitude of the incident, av</w:t>
            </w:r>
            <w:r w:rsidRPr="00264671">
              <w:t>ailable human and physical resources, geographic location, response timeframes and accessibility</w:t>
            </w:r>
          </w:p>
          <w:p w:rsidR="00000000" w:rsidRPr="00264671" w:rsidP="00264671">
            <w:pPr>
              <w:pStyle w:val="ListBullet"/>
            </w:pPr>
            <w:r w:rsidRPr="00264671">
              <w:t xml:space="preserve">Safety Data Sheets (SDS) </w:t>
            </w:r>
          </w:p>
          <w:p w:rsidR="00000000" w:rsidRPr="00264671" w:rsidP="00264671">
            <w:pPr>
              <w:pStyle w:val="ListBullet"/>
            </w:pPr>
            <w:r w:rsidRPr="00264671">
              <w:t>sources of intelligence including aerial observations, Australian Dangerous Goods Code, initial visual reports (location), Material Safety Data Sheets (MSDS)/Safety Data Sheets (SDS), net environmental benefit analysis, oil samples, oil spill response atla</w:t>
            </w:r>
            <w:r w:rsidRPr="00264671">
              <w:t>s, oil spill trajectory modelling, reports from operational, technical and environmental advisors and reports from ship’s master indicating type and quantity of oil spill</w:t>
            </w:r>
          </w:p>
          <w:p w:rsidR="00000000" w:rsidRPr="00264671" w:rsidP="00264671">
            <w:pPr>
              <w:pStyle w:val="ListBullet"/>
            </w:pPr>
            <w:r w:rsidRPr="00264671">
              <w:t>specialist advisors including operational, technical and environmental experts such a</w:t>
            </w:r>
            <w:r w:rsidRPr="00264671">
              <w:t>s environmental scientists, marine pollution experts, Australian Maritime Safety Authority (AMSA), oil importers and exporters, ships masters, salvage advisors and government agencies</w:t>
            </w:r>
          </w:p>
          <w:p w:rsidR="00000000" w:rsidRPr="00264671" w:rsidP="00264671">
            <w:pPr>
              <w:pStyle w:val="ListBullet"/>
            </w:pPr>
            <w:r w:rsidRPr="00264671">
              <w:t>stakeholders including federal, state, territory and local government ag</w:t>
            </w:r>
            <w:r w:rsidRPr="00264671">
              <w:t>encies and representatives from businesses, community, protection and indemnity, indigenous communities, marine oil response teams, media, salvors and ship owner, charterer or manager</w:t>
            </w:r>
          </w:p>
          <w:p w:rsidR="00000000" w:rsidRPr="00264671" w:rsidP="00264671">
            <w:pPr>
              <w:pStyle w:val="ListBullet"/>
            </w:pPr>
            <w:r w:rsidRPr="00264671">
              <w:t>strategic planning methodologies including Political, Economic, Social a</w:t>
            </w:r>
            <w:r w:rsidRPr="00264671">
              <w:t>nd Technological (PEST) analysis and Strengths, Weaknesses, Opportunities and Threats analysis (SWOT)</w:t>
            </w:r>
          </w:p>
          <w:p w:rsidR="00000000" w:rsidRPr="00264671" w:rsidP="00264671">
            <w:pPr>
              <w:pStyle w:val="ListBullet"/>
            </w:pPr>
            <w:r w:rsidRPr="00264671">
              <w:t>Work, Health and Safety (WHS)/Occupational Health and Safety (OHS) requirements including risk factors and risk mitigation processes</w:t>
            </w:r>
          </w:p>
        </w:tc>
      </w:tr>
    </w:tbl>
    <w:p w:rsidR="00CA105C" w:rsidP="00264671">
      <w:pPr>
        <w:pStyle w:val="NoPaddingFontSize1"/>
      </w:pPr>
    </w:p>
    <w:p w:rsidR="00CA105C" w:rsidP="00264671">
      <w:pPr>
        <w:pStyle w:val="NoPaddingFontSize1"/>
      </w:pPr>
    </w:p>
    <w:p w:rsidR="00000000" w:rsidRPr="00264671" w:rsidP="00264671">
      <w:pPr>
        <w:pStyle w:val="Heading1"/>
      </w:pPr>
      <w:bookmarkStart w:id="14" w:name="O_1031451"/>
      <w:bookmarkEnd w:id="14"/>
      <w:r w:rsidRPr="00264671">
        <w:t>Assessment Conditions</w:t>
      </w:r>
    </w:p>
    <w:tbl>
      <w:tblPr>
        <w:tblW w:w="9497" w:type="dxa"/>
        <w:tblLayout w:type="fixed"/>
        <w:tblCellMar>
          <w:left w:w="62" w:type="dxa"/>
          <w:right w:w="62" w:type="dxa"/>
        </w:tblCellMar>
        <w:tblLook w:val="0000"/>
      </w:tblPr>
      <w:tblGrid>
        <w:gridCol w:w="9497"/>
      </w:tblGrid>
      <w:tr w:rsidTr="002646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4671" w:rsidP="00264671">
            <w:pPr>
              <w:pStyle w:val="BodyText"/>
            </w:pPr>
            <w:r w:rsidRPr="00264671">
              <w:t xml:space="preserve">As a minimum, assessors must satisfy applicable regulatory requirements, which include requirements in the Standards for Registered Training Organisations current at the time of assessment. </w:t>
            </w:r>
          </w:p>
          <w:p w:rsidR="00000000" w:rsidRPr="00264671" w:rsidP="00264671">
            <w:pPr>
              <w:pStyle w:val="BodyText"/>
            </w:pPr>
            <w:r w:rsidRPr="00264671">
              <w:t>As a minimum, assessment must sati</w:t>
            </w:r>
            <w:r w:rsidRPr="00264671">
              <w:t>sfy applicable regulatory requirements, which include requirements in the Standards for Registered Training Organisations current at the time of assessment.</w:t>
            </w:r>
          </w:p>
          <w:p w:rsidR="00000000" w:rsidRPr="00264671" w:rsidP="00264671">
            <w:pPr>
              <w:pStyle w:val="BodyText"/>
            </w:pPr>
            <w:r w:rsidRPr="00264671">
              <w:t>Assessment processes and techniques must be appropriate to the language, literacy and numeracy requ</w:t>
            </w:r>
            <w:r w:rsidRPr="00264671">
              <w:t>irements of the work being performed and the needs of the candidate.</w:t>
            </w:r>
          </w:p>
          <w:p w:rsidR="00000000" w:rsidRPr="00264671" w:rsidP="00264671">
            <w:pPr>
              <w:pStyle w:val="BodyText"/>
            </w:pPr>
            <w:r w:rsidRPr="00264671">
              <w:t>Assessment must occur in workplace operational situations where it is appropriate to do so; where this is not appropriate, assessment must occur in simulated workplace operational situati</w:t>
            </w:r>
            <w:r w:rsidRPr="00264671">
              <w:t>ons that replicate workplace conditions.</w:t>
            </w:r>
          </w:p>
          <w:p w:rsidR="00000000" w:rsidRPr="00264671" w:rsidP="00264671">
            <w:pPr>
              <w:pStyle w:val="BodyText"/>
            </w:pPr>
            <w:r w:rsidRPr="00264671">
              <w:t>Assessment must be based on a real or simulated oil response situation where multiple decisions may be made but where critical analysis of information allows for considered and justifiable actions.</w:t>
            </w:r>
          </w:p>
          <w:p w:rsidR="00000000" w:rsidRPr="00264671" w:rsidP="00264671">
            <w:pPr>
              <w:pStyle w:val="BodyText"/>
            </w:pPr>
            <w:r w:rsidRPr="00264671">
              <w:t>Resources for ass</w:t>
            </w:r>
            <w:r w:rsidRPr="00264671">
              <w:t>essment must include access to</w:t>
            </w:r>
          </w:p>
          <w:p w:rsidR="00000000" w:rsidRPr="00264671" w:rsidP="00264671">
            <w:pPr>
              <w:pStyle w:val="ListBullet"/>
            </w:pPr>
            <w:r w:rsidRPr="00264671">
              <w:t>a range of relevant exercises, case studies and/or simulations</w:t>
            </w:r>
          </w:p>
          <w:p w:rsidR="00000000" w:rsidRPr="00264671" w:rsidP="00264671">
            <w:pPr>
              <w:pStyle w:val="ListBullet"/>
            </w:pPr>
            <w:r w:rsidRPr="00264671">
              <w:t>relevant and appropriate materials, equipment, tools and personal protective clothing and equipment currently used in industry</w:t>
            </w:r>
          </w:p>
          <w:p w:rsidR="00000000" w:rsidRPr="00264671" w:rsidP="00264671">
            <w:pPr>
              <w:pStyle w:val="ListBullet"/>
            </w:pPr>
            <w:r w:rsidRPr="00264671">
              <w:t>applicable documentation including</w:t>
            </w:r>
            <w:r w:rsidRPr="00264671">
              <w:t xml:space="preserve"> organisational procedures, industry standards, equipment specifications, regulations, codes of practice and operations manuals.</w:t>
            </w:r>
          </w:p>
        </w:tc>
      </w:tr>
    </w:tbl>
    <w:p w:rsidR="00CA105C" w:rsidP="00264671">
      <w:pPr>
        <w:pStyle w:val="NoPaddingFontSize1"/>
      </w:pPr>
    </w:p>
    <w:p w:rsidR="00CA105C" w:rsidP="00264671">
      <w:pPr>
        <w:pStyle w:val="NoPaddingFontSize1"/>
      </w:pPr>
    </w:p>
    <w:p w:rsidR="00000000" w:rsidRPr="00264671" w:rsidP="00264671">
      <w:pPr>
        <w:pStyle w:val="Heading1"/>
      </w:pPr>
      <w:bookmarkStart w:id="15" w:name="O_1031454"/>
      <w:bookmarkEnd w:id="15"/>
      <w:r w:rsidRPr="00264671">
        <w:t>Links</w:t>
      </w:r>
    </w:p>
    <w:p w:rsidR="00000000" w:rsidRPr="00264671" w:rsidP="00CA105C">
      <w:pPr>
        <w:pStyle w:val="BodyText"/>
      </w:pPr>
      <w:r w:rsidRPr="00264671">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5386D">
        <w:rPr>
          <w:rStyle w:val="Hyperlink"/>
        </w:rPr>
        <w:t>https://vetnet.gov.au/Pages/TrainingDocs.aspx?q=3eca5672-6d5a-410b-8942-810d0ba05bbf</w:t>
      </w:r>
      <w:r>
        <w:fldChar w:fldCharType="end"/>
      </w:r>
    </w:p>
    <w:p w:rsidR="00000000" w:rsidRPr="00264671" w:rsidP="00264671"/>
    <w:sectPr w:rsidSect="002646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71" w:rsidRPr="00CA105C" w:rsidP="00CA1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5C" w:rsidP="00264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105C" w:rsidP="002646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A105C" w:rsidP="002646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71" w:rsidP="00264671">
    <w:pPr>
      <w:pStyle w:val="Footer"/>
      <w:framePr w:wrap="around"/>
    </w:pPr>
    <w:r>
      <w:fldChar w:fldCharType="begin"/>
    </w:r>
    <w:r>
      <w:instrText xml:space="preserve"> DOCPROPERTY  Subject  \* MERGEFORMAT </w:instrText>
    </w:r>
    <w:r>
      <w:fldChar w:fldCharType="separate"/>
    </w:r>
    <w:r w:rsidR="00CA105C">
      <w:t>Approved</w:t>
    </w:r>
    <w:r w:rsidR="00CA105C">
      <w:fldChar w:fldCharType="end"/>
    </w:r>
    <w:r>
      <w:tab/>
      <w:t xml:space="preserve">Page </w:t>
    </w:r>
    <w:r>
      <w:fldChar w:fldCharType="begin"/>
    </w:r>
    <w:r>
      <w:instrText xml:space="preserve"> PAGE  \* Arabic  \* MERGEFORMAT </w:instrText>
    </w:r>
    <w:r>
      <w:fldChar w:fldCharType="separate"/>
    </w:r>
    <w:r w:rsidR="00CA105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105C">
      <w:rPr>
        <w:noProof/>
      </w:rPr>
      <w:t>5</w:t>
    </w:r>
    <w:r>
      <w:rPr>
        <w:noProof/>
      </w:rPr>
      <w:fldChar w:fldCharType="end"/>
    </w:r>
  </w:p>
  <w:p w:rsidR="00264671" w:rsidP="00264671">
    <w:pPr>
      <w:pStyle w:val="Footer"/>
      <w:framePr w:wrap="around"/>
    </w:pPr>
    <w:r>
      <w:t xml:space="preserve">© Commonwealth of Australia, </w:t>
    </w:r>
    <w:r>
      <w:fldChar w:fldCharType="begin"/>
    </w:r>
    <w:r>
      <w:instrText xml:space="preserve"> DATE  \@ "yyyy"  \* MERGEFORMAT </w:instrText>
    </w:r>
    <w:r>
      <w:fldChar w:fldCharType="separate"/>
    </w:r>
    <w:r w:rsidR="00CA105C">
      <w:rPr>
        <w:noProof/>
      </w:rPr>
      <w:t>2025</w:t>
    </w:r>
    <w:r>
      <w:fldChar w:fldCharType="end"/>
    </w:r>
    <w:r>
      <w:tab/>
    </w:r>
    <w:r>
      <w:fldChar w:fldCharType="begin"/>
    </w:r>
    <w:r>
      <w:instrText xml:space="preserve"> DOCPROPERTY  Author  \* MERGEFORMAT </w:instrText>
    </w:r>
    <w:r>
      <w:fldChar w:fldCharType="separate"/>
    </w:r>
    <w:r w:rsidR="00CA105C">
      <w:t>Public Skills Australia</w:t>
    </w:r>
    <w:r w:rsidR="00CA105C">
      <w:fldChar w:fldCharType="end"/>
    </w:r>
  </w:p>
  <w:p w:rsidR="00264671" w:rsidP="00264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671" w:rsidRPr="00CA105C" w:rsidP="00CA1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5C" w:rsidRPr="002D2AF8" w:rsidP="00264671">
    <w:pPr>
      <w:pStyle w:val="Header"/>
      <w:framePr w:wrap="around"/>
    </w:pPr>
    <w:r>
      <w:fldChar w:fldCharType="begin"/>
    </w:r>
    <w:r>
      <w:instrText xml:space="preserve"> TITLE   \* MERGEFORMAT </w:instrText>
    </w:r>
    <w:r>
      <w:fldChar w:fldCharType="separate"/>
    </w:r>
    <w:r>
      <w:t>PUAOIL404 Apply decision making strategies in an oil spill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105C" w:rsidP="002646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671" w:rsidRPr="002D2AF8" w:rsidP="00264671">
    <w:pPr>
      <w:pStyle w:val="Header"/>
      <w:framePr w:wrap="around"/>
    </w:pPr>
    <w:r>
      <w:fldChar w:fldCharType="begin"/>
    </w:r>
    <w:r>
      <w:instrText xml:space="preserve"> TITLE   \* MERGEFORMAT </w:instrText>
    </w:r>
    <w:r>
      <w:fldChar w:fldCharType="separate"/>
    </w:r>
    <w:r w:rsidR="00CA105C">
      <w:t>PUAOIL404 Apply decision making strategies in an oil spill response</w:t>
    </w:r>
    <w:r w:rsidR="00CA105C">
      <w:fldChar w:fldCharType="end"/>
    </w:r>
    <w:r>
      <w:tab/>
      <w:t xml:space="preserve">Date this document was generated: </w:t>
    </w:r>
    <w:r>
      <w:fldChar w:fldCharType="begin"/>
    </w:r>
    <w:r>
      <w:instrText xml:space="preserve"> CREATEDATE  \@ "d MMMM yyyy"  \* MERGEFORMAT </w:instrText>
    </w:r>
    <w:r>
      <w:fldChar w:fldCharType="separate"/>
    </w:r>
    <w:r w:rsidR="00CA105C">
      <w:rPr>
        <w:noProof/>
      </w:rPr>
      <w:t>2 March 2025</w:t>
    </w:r>
    <w:r>
      <w:fldChar w:fldCharType="end"/>
    </w:r>
  </w:p>
  <w:p w:rsidR="00264671" w:rsidP="00264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185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E5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4EB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671"/>
    <w:pPr>
      <w:spacing w:before="360" w:after="60"/>
      <w:outlineLvl w:val="0"/>
    </w:pPr>
    <w:rPr>
      <w:sz w:val="32"/>
    </w:rPr>
  </w:style>
  <w:style w:type="paragraph" w:styleId="Heading2">
    <w:name w:val="heading 2"/>
    <w:basedOn w:val="HeadingBase"/>
    <w:next w:val="BodyText"/>
    <w:link w:val="Heading2Char"/>
    <w:qFormat/>
    <w:rsid w:val="00264671"/>
    <w:pPr>
      <w:keepLines/>
      <w:spacing w:before="240" w:after="120"/>
      <w:outlineLvl w:val="1"/>
    </w:pPr>
    <w:rPr>
      <w:sz w:val="28"/>
      <w:szCs w:val="40"/>
    </w:rPr>
  </w:style>
  <w:style w:type="paragraph" w:styleId="Heading3">
    <w:name w:val="heading 3"/>
    <w:basedOn w:val="HeadingBase"/>
    <w:next w:val="BodyText"/>
    <w:link w:val="Heading3Char"/>
    <w:qFormat/>
    <w:rsid w:val="00264671"/>
    <w:pPr>
      <w:spacing w:before="180" w:after="120"/>
      <w:outlineLvl w:val="2"/>
    </w:pPr>
    <w:rPr>
      <w:spacing w:val="-10"/>
      <w:kern w:val="32"/>
    </w:rPr>
  </w:style>
  <w:style w:type="paragraph" w:styleId="Heading4">
    <w:name w:val="heading 4"/>
    <w:basedOn w:val="HeadingBase"/>
    <w:next w:val="BodyText"/>
    <w:link w:val="Heading4Char"/>
    <w:qFormat/>
    <w:rsid w:val="00264671"/>
    <w:pPr>
      <w:spacing w:before="160" w:after="120"/>
      <w:outlineLvl w:val="3"/>
    </w:pPr>
    <w:rPr>
      <w:sz w:val="22"/>
    </w:rPr>
  </w:style>
  <w:style w:type="paragraph" w:styleId="Heading5">
    <w:name w:val="heading 5"/>
    <w:basedOn w:val="HeadingBase"/>
    <w:next w:val="Normal"/>
    <w:link w:val="Heading5Char"/>
    <w:qFormat/>
    <w:rsid w:val="00264671"/>
    <w:pPr>
      <w:spacing w:before="80"/>
      <w:outlineLvl w:val="4"/>
    </w:pPr>
    <w:rPr>
      <w:color w:val="918585"/>
      <w:sz w:val="20"/>
    </w:rPr>
  </w:style>
  <w:style w:type="paragraph" w:styleId="Heading6">
    <w:name w:val="heading 6"/>
    <w:basedOn w:val="HeadingBase"/>
    <w:next w:val="Normal"/>
    <w:link w:val="Heading6Char"/>
    <w:qFormat/>
    <w:rsid w:val="00264671"/>
    <w:pPr>
      <w:spacing w:before="60"/>
      <w:outlineLvl w:val="5"/>
    </w:pPr>
    <w:rPr>
      <w:color w:val="918585"/>
      <w:sz w:val="20"/>
    </w:rPr>
  </w:style>
  <w:style w:type="paragraph" w:styleId="Heading7">
    <w:name w:val="heading 7"/>
    <w:basedOn w:val="Normal"/>
    <w:next w:val="Normal"/>
    <w:link w:val="Heading7Char"/>
    <w:qFormat/>
    <w:rsid w:val="00264671"/>
    <w:pPr>
      <w:ind w:left="720"/>
      <w:outlineLvl w:val="6"/>
    </w:pPr>
    <w:rPr>
      <w:i/>
    </w:rPr>
  </w:style>
  <w:style w:type="paragraph" w:styleId="Heading8">
    <w:name w:val="heading 8"/>
    <w:basedOn w:val="Normal"/>
    <w:next w:val="Normal"/>
    <w:link w:val="Heading8Char"/>
    <w:qFormat/>
    <w:rsid w:val="00264671"/>
    <w:pPr>
      <w:ind w:left="720"/>
      <w:outlineLvl w:val="7"/>
    </w:pPr>
    <w:rPr>
      <w:i/>
    </w:rPr>
  </w:style>
  <w:style w:type="paragraph" w:styleId="Heading9">
    <w:name w:val="heading 9"/>
    <w:basedOn w:val="Normal"/>
    <w:next w:val="Normal"/>
    <w:link w:val="Heading9Char"/>
    <w:qFormat/>
    <w:rsid w:val="00264671"/>
    <w:pPr>
      <w:ind w:left="720"/>
      <w:outlineLvl w:val="8"/>
    </w:pPr>
    <w:rPr>
      <w:i/>
    </w:rPr>
  </w:style>
  <w:style w:type="character" w:default="1" w:styleId="DefaultParagraphFont">
    <w:name w:val="Default Paragraph Font"/>
    <w:uiPriority w:val="1"/>
    <w:unhideWhenUsed/>
    <w:rsid w:val="00264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671"/>
  </w:style>
  <w:style w:type="character" w:customStyle="1" w:styleId="Heading1Char">
    <w:name w:val="Heading 1 Char"/>
    <w:basedOn w:val="DefaultParagraphFont"/>
    <w:link w:val="Heading1"/>
    <w:rsid w:val="00264671"/>
    <w:rPr>
      <w:rFonts w:ascii="Times New Roman" w:eastAsia="Times New Roman" w:hAnsi="Times New Roman" w:cs="Times New Roman"/>
      <w:b/>
      <w:sz w:val="32"/>
      <w:szCs w:val="20"/>
      <w:lang w:eastAsia="en-US"/>
    </w:rPr>
  </w:style>
  <w:style w:type="paragraph" w:styleId="BodyText">
    <w:name w:val="Body Text"/>
    <w:basedOn w:val="Normal"/>
    <w:link w:val="BodyTextChar"/>
    <w:rsid w:val="002646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671"/>
    <w:rPr>
      <w:rFonts w:ascii="Times New Roman" w:eastAsia="Times New Roman" w:hAnsi="Times New Roman" w:cs="Times New Roman"/>
      <w:sz w:val="24"/>
      <w:lang w:eastAsia="en-US"/>
    </w:rPr>
  </w:style>
  <w:style w:type="paragraph" w:styleId="ListBullet">
    <w:name w:val="List Bullet"/>
    <w:basedOn w:val="List"/>
    <w:rsid w:val="00264671"/>
    <w:pPr>
      <w:numPr>
        <w:numId w:val="12"/>
      </w:numPr>
      <w:tabs>
        <w:tab w:val="clear" w:pos="340"/>
      </w:tabs>
      <w:spacing w:before="40" w:after="40"/>
    </w:pPr>
  </w:style>
  <w:style w:type="character" w:customStyle="1" w:styleId="SpecialBold">
    <w:name w:val="Special Bold"/>
    <w:basedOn w:val="DefaultParagraphFont"/>
    <w:rsid w:val="00264671"/>
    <w:rPr>
      <w:b/>
      <w:spacing w:val="0"/>
    </w:rPr>
  </w:style>
  <w:style w:type="paragraph" w:styleId="ListBullet2">
    <w:name w:val="List Bullet 2"/>
    <w:basedOn w:val="List2"/>
    <w:rsid w:val="00264671"/>
    <w:pPr>
      <w:numPr>
        <w:numId w:val="13"/>
      </w:numPr>
      <w:tabs>
        <w:tab w:val="clear" w:pos="680"/>
      </w:tabs>
    </w:pPr>
  </w:style>
  <w:style w:type="paragraph" w:customStyle="1" w:styleId="SuperHeading">
    <w:name w:val="SuperHeading"/>
    <w:basedOn w:val="Normal"/>
    <w:rsid w:val="00264671"/>
    <w:pPr>
      <w:spacing w:before="240" w:after="120"/>
      <w:outlineLvl w:val="0"/>
    </w:pPr>
    <w:rPr>
      <w:rFonts w:ascii="Times New Roman" w:hAnsi="Times New Roman"/>
      <w:b/>
      <w:sz w:val="32"/>
    </w:rPr>
  </w:style>
  <w:style w:type="paragraph" w:customStyle="1" w:styleId="AllowPageBreak">
    <w:name w:val="AllowPageBreak"/>
    <w:rsid w:val="002646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4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671"/>
    <w:rPr>
      <w:rFonts w:ascii="Courier New" w:eastAsia="Times New Roman" w:hAnsi="Courier New" w:cs="Times New Roman"/>
      <w:i/>
      <w:szCs w:val="20"/>
      <w:lang w:eastAsia="en-US"/>
    </w:rPr>
  </w:style>
  <w:style w:type="paragraph" w:customStyle="1" w:styleId="HeadingBase">
    <w:name w:val="Heading Base"/>
    <w:rsid w:val="00264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671"/>
    <w:pPr>
      <w:tabs>
        <w:tab w:val="right" w:leader="dot" w:pos="9072"/>
      </w:tabs>
      <w:ind w:left="567"/>
    </w:pPr>
    <w:rPr>
      <w:szCs w:val="22"/>
    </w:rPr>
  </w:style>
  <w:style w:type="paragraph" w:customStyle="1" w:styleId="TOCBase">
    <w:name w:val="TOC Base"/>
    <w:rsid w:val="00264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671"/>
    <w:pPr>
      <w:tabs>
        <w:tab w:val="right" w:leader="dot" w:pos="9072"/>
      </w:tabs>
      <w:spacing w:before="40" w:after="40"/>
      <w:ind w:left="284"/>
    </w:pPr>
    <w:rPr>
      <w:rFonts w:ascii="Times New Roman" w:hAnsi="Times New Roman"/>
    </w:rPr>
  </w:style>
  <w:style w:type="paragraph" w:styleId="TOC1">
    <w:name w:val="toc 1"/>
    <w:basedOn w:val="TOCBase"/>
    <w:next w:val="Normal"/>
    <w:rsid w:val="00264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671"/>
    <w:rPr>
      <w:rFonts w:ascii="Times New Roman" w:eastAsia="Times New Roman" w:hAnsi="Times New Roman" w:cs="Times New Roman"/>
      <w:sz w:val="16"/>
      <w:lang w:eastAsia="en-US"/>
    </w:rPr>
  </w:style>
  <w:style w:type="paragraph" w:styleId="Title">
    <w:name w:val="Title"/>
    <w:basedOn w:val="HeadingBase"/>
    <w:link w:val="TitleChar"/>
    <w:qFormat/>
    <w:rsid w:val="00264671"/>
    <w:pPr>
      <w:spacing w:before="5040"/>
      <w:jc w:val="center"/>
    </w:pPr>
    <w:rPr>
      <w:sz w:val="48"/>
      <w:szCs w:val="72"/>
      <w:lang w:val="en-US"/>
    </w:rPr>
  </w:style>
  <w:style w:type="character" w:customStyle="1" w:styleId="TitleChar">
    <w:name w:val="Title Char"/>
    <w:basedOn w:val="DefaultParagraphFont"/>
    <w:link w:val="Title"/>
    <w:rsid w:val="00264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671"/>
    <w:pPr>
      <w:tabs>
        <w:tab w:val="left" w:pos="3600"/>
        <w:tab w:val="left" w:pos="3958"/>
      </w:tabs>
    </w:pPr>
  </w:style>
  <w:style w:type="paragraph" w:styleId="List">
    <w:name w:val="List"/>
    <w:basedOn w:val="BodyText"/>
    <w:next w:val="BodyText"/>
    <w:rsid w:val="00264671"/>
    <w:pPr>
      <w:tabs>
        <w:tab w:val="left" w:pos="340"/>
      </w:tabs>
      <w:spacing w:before="60" w:after="60"/>
      <w:ind w:left="340" w:hanging="340"/>
    </w:pPr>
  </w:style>
  <w:style w:type="paragraph" w:customStyle="1" w:styleId="Note">
    <w:name w:val="Note"/>
    <w:basedOn w:val="BodyText"/>
    <w:rsid w:val="00264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671"/>
    <w:pPr>
      <w:framePr w:wrap="auto" w:hAnchor="text" w:y="6049"/>
    </w:pPr>
    <w:rPr>
      <w:color w:val="000000"/>
      <w:sz w:val="40"/>
    </w:rPr>
  </w:style>
  <w:style w:type="paragraph" w:customStyle="1" w:styleId="TOCTitle">
    <w:name w:val="TOCTitle"/>
    <w:basedOn w:val="Heading1"/>
    <w:rsid w:val="00264671"/>
    <w:pPr>
      <w:spacing w:after="240"/>
      <w:jc w:val="center"/>
      <w:outlineLvl w:val="9"/>
    </w:pPr>
    <w:rPr>
      <w:caps/>
    </w:rPr>
  </w:style>
  <w:style w:type="paragraph" w:customStyle="1" w:styleId="Version">
    <w:name w:val="Version"/>
    <w:rsid w:val="002646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671"/>
    <w:pPr>
      <w:keepNext w:val="0"/>
      <w:tabs>
        <w:tab w:val="right" w:pos="4176"/>
      </w:tabs>
      <w:ind w:left="198" w:hanging="198"/>
    </w:pPr>
    <w:rPr>
      <w:rFonts w:ascii="Garamond" w:hAnsi="Garamond"/>
    </w:rPr>
  </w:style>
  <w:style w:type="paragraph" w:styleId="IndexHeading">
    <w:name w:val="index heading"/>
    <w:basedOn w:val="Normal"/>
    <w:next w:val="Index1"/>
    <w:semiHidden/>
    <w:rsid w:val="00264671"/>
    <w:pPr>
      <w:spacing w:before="120" w:after="120"/>
    </w:pPr>
    <w:rPr>
      <w:rFonts w:ascii="Arial" w:hAnsi="Arial"/>
      <w:b/>
      <w:color w:val="918585"/>
      <w:sz w:val="24"/>
    </w:rPr>
  </w:style>
  <w:style w:type="paragraph" w:styleId="Header">
    <w:name w:val="header"/>
    <w:basedOn w:val="Normal"/>
    <w:link w:val="HeaderChar"/>
    <w:rsid w:val="00264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671"/>
    <w:rPr>
      <w:rFonts w:ascii="Times New Roman" w:eastAsia="Times New Roman" w:hAnsi="Times New Roman" w:cs="Times New Roman"/>
      <w:sz w:val="16"/>
      <w:szCs w:val="20"/>
      <w:lang w:val="en-GB" w:eastAsia="en-US"/>
    </w:rPr>
  </w:style>
  <w:style w:type="paragraph" w:customStyle="1" w:styleId="Chapter">
    <w:name w:val="Chapter"/>
    <w:basedOn w:val="Normal"/>
    <w:rsid w:val="00264671"/>
    <w:pPr>
      <w:spacing w:before="240"/>
    </w:pPr>
    <w:rPr>
      <w:rFonts w:ascii="Times New Roman" w:hAnsi="Times New Roman"/>
      <w:smallCaps/>
      <w:spacing w:val="80"/>
      <w:sz w:val="28"/>
    </w:rPr>
  </w:style>
  <w:style w:type="paragraph" w:customStyle="1" w:styleId="InChapter">
    <w:name w:val="InChapter"/>
    <w:basedOn w:val="Heading3"/>
    <w:rsid w:val="00264671"/>
    <w:pPr>
      <w:spacing w:after="240"/>
      <w:outlineLvl w:val="9"/>
    </w:pPr>
    <w:rPr>
      <w:noProof/>
    </w:rPr>
  </w:style>
  <w:style w:type="paragraph" w:styleId="Index2">
    <w:name w:val="index 2"/>
    <w:basedOn w:val="Normal"/>
    <w:next w:val="Normal"/>
    <w:semiHidden/>
    <w:rsid w:val="00264671"/>
    <w:pPr>
      <w:tabs>
        <w:tab w:val="right" w:pos="4176"/>
      </w:tabs>
      <w:ind w:left="568" w:hanging="284"/>
    </w:pPr>
    <w:rPr>
      <w:rFonts w:ascii="Garamond" w:hAnsi="Garamond"/>
    </w:rPr>
  </w:style>
  <w:style w:type="paragraph" w:customStyle="1" w:styleId="Byline">
    <w:name w:val="Byline"/>
    <w:rsid w:val="00264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671"/>
    <w:pPr>
      <w:tabs>
        <w:tab w:val="clear" w:pos="3600"/>
        <w:tab w:val="clear" w:pos="3958"/>
      </w:tabs>
      <w:jc w:val="right"/>
    </w:pPr>
  </w:style>
  <w:style w:type="character" w:styleId="Emphasis">
    <w:name w:val="Emphasis"/>
    <w:basedOn w:val="DefaultParagraphFont"/>
    <w:qFormat/>
    <w:rsid w:val="00264671"/>
    <w:rPr>
      <w:i/>
    </w:rPr>
  </w:style>
  <w:style w:type="paragraph" w:styleId="Caption">
    <w:name w:val="caption"/>
    <w:basedOn w:val="BodyText"/>
    <w:next w:val="Normal"/>
    <w:qFormat/>
    <w:rsid w:val="00264671"/>
    <w:pPr>
      <w:framePr w:w="2268" w:hSpace="181" w:vSpace="181" w:wrap="around" w:vAnchor="text" w:hAnchor="page" w:x="1135" w:y="285" w:anchorLock="1"/>
    </w:pPr>
    <w:rPr>
      <w:i/>
    </w:rPr>
  </w:style>
  <w:style w:type="paragraph" w:customStyle="1" w:styleId="MiniTOCTitle">
    <w:name w:val="MiniTOCTitle"/>
    <w:basedOn w:val="Heading4"/>
    <w:rsid w:val="00264671"/>
    <w:pPr>
      <w:spacing w:before="240"/>
      <w:outlineLvl w:val="9"/>
    </w:pPr>
    <w:rPr>
      <w:noProof/>
      <w:sz w:val="24"/>
    </w:rPr>
  </w:style>
  <w:style w:type="paragraph" w:customStyle="1" w:styleId="MiniTOCItem">
    <w:name w:val="MiniTOCItem"/>
    <w:basedOn w:val="ListBullet"/>
    <w:rsid w:val="00264671"/>
    <w:pPr>
      <w:numPr>
        <w:numId w:val="0"/>
      </w:numPr>
      <w:tabs>
        <w:tab w:val="right" w:leader="dot" w:pos="6521"/>
      </w:tabs>
      <w:spacing w:before="0" w:after="0"/>
    </w:pPr>
  </w:style>
  <w:style w:type="paragraph" w:customStyle="1" w:styleId="TOFTitle">
    <w:name w:val="TOFTitle"/>
    <w:basedOn w:val="TOCTitle"/>
    <w:rsid w:val="00264671"/>
  </w:style>
  <w:style w:type="paragraph" w:styleId="TableofFigures">
    <w:name w:val="table of figures"/>
    <w:basedOn w:val="Normal"/>
    <w:next w:val="Normal"/>
    <w:semiHidden/>
    <w:rsid w:val="00264671"/>
    <w:pPr>
      <w:tabs>
        <w:tab w:val="right" w:leader="dot" w:pos="9072"/>
      </w:tabs>
      <w:ind w:left="970" w:hanging="403"/>
    </w:pPr>
    <w:rPr>
      <w:rFonts w:ascii="Times New Roman" w:hAnsi="Times New Roman"/>
      <w:b/>
    </w:rPr>
  </w:style>
  <w:style w:type="paragraph" w:styleId="ListNumber">
    <w:name w:val="List Number"/>
    <w:basedOn w:val="List"/>
    <w:rsid w:val="00264671"/>
    <w:pPr>
      <w:numPr>
        <w:numId w:val="15"/>
      </w:numPr>
      <w:tabs>
        <w:tab w:val="clear" w:pos="340"/>
      </w:tabs>
    </w:pPr>
  </w:style>
  <w:style w:type="character" w:customStyle="1" w:styleId="WingdingSymbols">
    <w:name w:val="Wingding Symbols"/>
    <w:rsid w:val="00264671"/>
    <w:rPr>
      <w:rFonts w:ascii="Wingdings" w:hAnsi="Wingdings"/>
    </w:rPr>
  </w:style>
  <w:style w:type="paragraph" w:customStyle="1" w:styleId="TableHeading">
    <w:name w:val="Table Heading"/>
    <w:basedOn w:val="HeadingBase"/>
    <w:rsid w:val="00264671"/>
    <w:pPr>
      <w:keepLines/>
      <w:pBdr>
        <w:bottom w:val="single" w:sz="6" w:space="1" w:color="918585"/>
      </w:pBdr>
      <w:spacing w:before="240"/>
    </w:pPr>
  </w:style>
  <w:style w:type="character" w:customStyle="1" w:styleId="HotSpot">
    <w:name w:val="HotSpot"/>
    <w:rsid w:val="00264671"/>
    <w:rPr>
      <w:color w:val="0033CC"/>
      <w:u w:val="none"/>
    </w:rPr>
  </w:style>
  <w:style w:type="paragraph" w:customStyle="1" w:styleId="BodyTextRight">
    <w:name w:val="Body Text Right"/>
    <w:basedOn w:val="BodyText"/>
    <w:rsid w:val="00264671"/>
    <w:pPr>
      <w:spacing w:before="0" w:after="0"/>
      <w:jc w:val="right"/>
    </w:pPr>
  </w:style>
  <w:style w:type="paragraph" w:styleId="Index3">
    <w:name w:val="index 3"/>
    <w:basedOn w:val="ListNumber2"/>
    <w:next w:val="Normal"/>
    <w:semiHidden/>
    <w:rsid w:val="00264671"/>
    <w:pPr>
      <w:numPr>
        <w:numId w:val="0"/>
      </w:numPr>
      <w:tabs>
        <w:tab w:val="right" w:leader="dot" w:pos="4176"/>
      </w:tabs>
    </w:pPr>
  </w:style>
  <w:style w:type="paragraph" w:styleId="ListNumber2">
    <w:name w:val="List Number 2"/>
    <w:basedOn w:val="List2"/>
    <w:rsid w:val="00264671"/>
    <w:pPr>
      <w:numPr>
        <w:numId w:val="10"/>
      </w:numPr>
      <w:tabs>
        <w:tab w:val="clear" w:pos="1060"/>
      </w:tabs>
    </w:pPr>
  </w:style>
  <w:style w:type="paragraph" w:customStyle="1" w:styleId="MarginNote">
    <w:name w:val="Margin Note"/>
    <w:basedOn w:val="BodyText"/>
    <w:rsid w:val="00264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671"/>
    <w:rPr>
      <w:sz w:val="32"/>
    </w:rPr>
  </w:style>
  <w:style w:type="paragraph" w:customStyle="1" w:styleId="HeadingProcedure">
    <w:name w:val="Heading Procedure"/>
    <w:basedOn w:val="HeadingBase"/>
    <w:next w:val="Normal"/>
    <w:rsid w:val="00264671"/>
    <w:pPr>
      <w:tabs>
        <w:tab w:val="left" w:pos="0"/>
      </w:tabs>
      <w:spacing w:before="120" w:after="60"/>
    </w:pPr>
    <w:rPr>
      <w:i/>
      <w:color w:val="918585"/>
      <w:sz w:val="22"/>
    </w:rPr>
  </w:style>
  <w:style w:type="paragraph" w:customStyle="1" w:styleId="TableBodyText">
    <w:name w:val="Table Body Text"/>
    <w:basedOn w:val="BodyText"/>
    <w:rsid w:val="00264671"/>
    <w:pPr>
      <w:spacing w:before="60" w:after="60"/>
    </w:pPr>
  </w:style>
  <w:style w:type="paragraph" w:styleId="ListContinue">
    <w:name w:val="List Continue"/>
    <w:basedOn w:val="List"/>
    <w:rsid w:val="00264671"/>
    <w:pPr>
      <w:ind w:firstLine="0"/>
    </w:pPr>
  </w:style>
  <w:style w:type="paragraph" w:customStyle="1" w:styleId="ListNote">
    <w:name w:val="List Note"/>
    <w:basedOn w:val="List"/>
    <w:rsid w:val="00264671"/>
    <w:pPr>
      <w:pBdr>
        <w:top w:val="single" w:sz="6" w:space="2" w:color="918585"/>
        <w:bottom w:val="single" w:sz="6" w:space="2" w:color="918585"/>
      </w:pBdr>
      <w:tabs>
        <w:tab w:val="left" w:pos="1021"/>
      </w:tabs>
      <w:ind w:firstLine="0"/>
    </w:pPr>
  </w:style>
  <w:style w:type="paragraph" w:customStyle="1" w:styleId="Warning">
    <w:name w:val="Warning"/>
    <w:basedOn w:val="BodyText"/>
    <w:rsid w:val="00264671"/>
    <w:pPr>
      <w:shd w:val="clear" w:color="auto" w:fill="D9D9D9"/>
      <w:tabs>
        <w:tab w:val="left" w:pos="992"/>
      </w:tabs>
      <w:ind w:left="119" w:right="119"/>
    </w:pPr>
    <w:rPr>
      <w:sz w:val="20"/>
    </w:rPr>
  </w:style>
  <w:style w:type="paragraph" w:customStyle="1" w:styleId="MarginIcons">
    <w:name w:val="Margin Icons"/>
    <w:basedOn w:val="BodyText"/>
    <w:rsid w:val="00264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671"/>
    <w:rPr>
      <w:rFonts w:ascii="Courier New" w:hAnsi="Courier New"/>
    </w:rPr>
  </w:style>
  <w:style w:type="paragraph" w:customStyle="1" w:styleId="NoteBullet">
    <w:name w:val="Note Bullet"/>
    <w:basedOn w:val="Note"/>
    <w:rsid w:val="00264671"/>
    <w:pPr>
      <w:tabs>
        <w:tab w:val="clear" w:pos="680"/>
      </w:tabs>
      <w:spacing w:before="60" w:after="60"/>
    </w:pPr>
  </w:style>
  <w:style w:type="paragraph" w:customStyle="1" w:styleId="SubHeading2">
    <w:name w:val="SubHeading2"/>
    <w:basedOn w:val="HeadingBase"/>
    <w:rsid w:val="00264671"/>
    <w:pPr>
      <w:spacing w:before="240" w:after="60"/>
    </w:pPr>
    <w:rPr>
      <w:sz w:val="20"/>
    </w:rPr>
  </w:style>
  <w:style w:type="paragraph" w:customStyle="1" w:styleId="SubHeading1">
    <w:name w:val="SubHeading1"/>
    <w:basedOn w:val="HeadingBase"/>
    <w:rsid w:val="00264671"/>
    <w:pPr>
      <w:spacing w:before="240" w:after="60"/>
    </w:pPr>
    <w:rPr>
      <w:color w:val="918585"/>
      <w:sz w:val="22"/>
    </w:rPr>
  </w:style>
  <w:style w:type="paragraph" w:customStyle="1" w:styleId="SideHeading">
    <w:name w:val="Side Heading"/>
    <w:basedOn w:val="HeadingBase"/>
    <w:rsid w:val="00264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671"/>
    <w:pPr>
      <w:tabs>
        <w:tab w:val="num" w:pos="360"/>
      </w:tabs>
    </w:pPr>
  </w:style>
  <w:style w:type="paragraph" w:styleId="PlainText">
    <w:name w:val="Plain Text"/>
    <w:basedOn w:val="Normal"/>
    <w:link w:val="PlainTextChar"/>
    <w:rsid w:val="00264671"/>
    <w:rPr>
      <w:sz w:val="20"/>
    </w:rPr>
  </w:style>
  <w:style w:type="character" w:customStyle="1" w:styleId="PlainTextChar">
    <w:name w:val="Plain Text Char"/>
    <w:basedOn w:val="DefaultParagraphFont"/>
    <w:link w:val="PlainText"/>
    <w:rsid w:val="00264671"/>
    <w:rPr>
      <w:rFonts w:ascii="Courier New" w:eastAsia="Times New Roman" w:hAnsi="Courier New" w:cs="Times New Roman"/>
      <w:sz w:val="20"/>
      <w:szCs w:val="20"/>
      <w:lang w:eastAsia="en-US"/>
    </w:rPr>
  </w:style>
  <w:style w:type="character" w:customStyle="1" w:styleId="MenuOption">
    <w:name w:val="Menu Option"/>
    <w:basedOn w:val="DefaultParagraphFont"/>
    <w:rsid w:val="00264671"/>
    <w:rPr>
      <w:b/>
      <w:smallCaps/>
    </w:rPr>
  </w:style>
  <w:style w:type="paragraph" w:customStyle="1" w:styleId="TableListNumber">
    <w:name w:val="Table List Number"/>
    <w:basedOn w:val="ListNumber"/>
    <w:rsid w:val="00264671"/>
    <w:pPr>
      <w:numPr>
        <w:numId w:val="0"/>
      </w:numPr>
    </w:pPr>
  </w:style>
  <w:style w:type="paragraph" w:styleId="TOC4">
    <w:name w:val="toc 4"/>
    <w:basedOn w:val="TOCBase"/>
    <w:next w:val="Normal"/>
    <w:semiHidden/>
    <w:rsid w:val="00264671"/>
    <w:pPr>
      <w:tabs>
        <w:tab w:val="right" w:leader="dot" w:pos="9071"/>
      </w:tabs>
      <w:ind w:left="1701"/>
    </w:pPr>
  </w:style>
  <w:style w:type="paragraph" w:customStyle="1" w:styleId="ListAlpha">
    <w:name w:val="List Alpha"/>
    <w:basedOn w:val="List"/>
    <w:rsid w:val="00264671"/>
    <w:pPr>
      <w:numPr>
        <w:numId w:val="9"/>
      </w:numPr>
    </w:pPr>
  </w:style>
  <w:style w:type="paragraph" w:customStyle="1" w:styleId="ListAlpha2">
    <w:name w:val="List Alpha 2"/>
    <w:basedOn w:val="List2"/>
    <w:rsid w:val="00264671"/>
    <w:pPr>
      <w:numPr>
        <w:numId w:val="8"/>
      </w:numPr>
    </w:pPr>
  </w:style>
  <w:style w:type="paragraph" w:styleId="List2">
    <w:name w:val="List 2"/>
    <w:basedOn w:val="BodyText"/>
    <w:rsid w:val="00264671"/>
    <w:pPr>
      <w:tabs>
        <w:tab w:val="left" w:pos="680"/>
      </w:tabs>
      <w:spacing w:before="60" w:after="60"/>
      <w:ind w:left="680" w:hanging="340"/>
    </w:pPr>
  </w:style>
  <w:style w:type="paragraph" w:styleId="List3">
    <w:name w:val="List 3"/>
    <w:basedOn w:val="BodyText"/>
    <w:rsid w:val="00264671"/>
    <w:pPr>
      <w:tabs>
        <w:tab w:val="left" w:pos="1021"/>
      </w:tabs>
      <w:spacing w:before="60" w:after="60"/>
      <w:ind w:left="1020" w:hanging="340"/>
    </w:pPr>
  </w:style>
  <w:style w:type="paragraph" w:styleId="List4">
    <w:name w:val="List 4"/>
    <w:basedOn w:val="BodyText"/>
    <w:rsid w:val="00264671"/>
    <w:pPr>
      <w:tabs>
        <w:tab w:val="left" w:pos="1361"/>
      </w:tabs>
      <w:spacing w:before="60" w:after="60"/>
      <w:ind w:left="1361" w:hanging="340"/>
    </w:pPr>
  </w:style>
  <w:style w:type="paragraph" w:styleId="List5">
    <w:name w:val="List 5"/>
    <w:basedOn w:val="BodyText"/>
    <w:rsid w:val="00264671"/>
    <w:pPr>
      <w:tabs>
        <w:tab w:val="left" w:pos="1701"/>
      </w:tabs>
      <w:spacing w:before="60" w:after="60"/>
      <w:ind w:left="1701" w:hanging="340"/>
    </w:pPr>
  </w:style>
  <w:style w:type="paragraph" w:styleId="ListBullet3">
    <w:name w:val="List Bullet 3"/>
    <w:basedOn w:val="List3"/>
    <w:rsid w:val="00264671"/>
    <w:pPr>
      <w:numPr>
        <w:numId w:val="14"/>
      </w:numPr>
      <w:tabs>
        <w:tab w:val="clear" w:pos="1021"/>
      </w:tabs>
      <w:ind w:left="1037" w:hanging="357"/>
    </w:pPr>
  </w:style>
  <w:style w:type="paragraph" w:styleId="ListBullet4">
    <w:name w:val="List Bullet 4"/>
    <w:basedOn w:val="List4"/>
    <w:rsid w:val="00264671"/>
    <w:pPr>
      <w:numPr>
        <w:numId w:val="3"/>
      </w:numPr>
      <w:tabs>
        <w:tab w:val="clear" w:pos="1361"/>
      </w:tabs>
    </w:pPr>
  </w:style>
  <w:style w:type="paragraph" w:styleId="ListBullet5">
    <w:name w:val="List Bullet 5"/>
    <w:basedOn w:val="List5"/>
    <w:rsid w:val="00264671"/>
    <w:pPr>
      <w:numPr>
        <w:numId w:val="4"/>
      </w:numPr>
    </w:pPr>
  </w:style>
  <w:style w:type="paragraph" w:styleId="ListContinue2">
    <w:name w:val="List Continue 2"/>
    <w:basedOn w:val="List2"/>
    <w:rsid w:val="00264671"/>
    <w:pPr>
      <w:ind w:firstLine="0"/>
    </w:pPr>
  </w:style>
  <w:style w:type="paragraph" w:styleId="ListContinue3">
    <w:name w:val="List Continue 3"/>
    <w:basedOn w:val="List3"/>
    <w:rsid w:val="00264671"/>
    <w:pPr>
      <w:ind w:left="1021" w:firstLine="0"/>
    </w:pPr>
  </w:style>
  <w:style w:type="paragraph" w:styleId="ListContinue4">
    <w:name w:val="List Continue 4"/>
    <w:basedOn w:val="List4"/>
    <w:rsid w:val="00264671"/>
    <w:pPr>
      <w:ind w:firstLine="0"/>
    </w:pPr>
  </w:style>
  <w:style w:type="paragraph" w:styleId="ListContinue5">
    <w:name w:val="List Continue 5"/>
    <w:basedOn w:val="List5"/>
    <w:rsid w:val="00264671"/>
    <w:pPr>
      <w:ind w:firstLine="0"/>
    </w:pPr>
  </w:style>
  <w:style w:type="paragraph" w:styleId="ListNumber3">
    <w:name w:val="List Number 3"/>
    <w:basedOn w:val="List3"/>
    <w:rsid w:val="00264671"/>
    <w:pPr>
      <w:numPr>
        <w:numId w:val="5"/>
      </w:numPr>
    </w:pPr>
  </w:style>
  <w:style w:type="paragraph" w:styleId="ListNumber4">
    <w:name w:val="List Number 4"/>
    <w:basedOn w:val="List4"/>
    <w:rsid w:val="00264671"/>
    <w:pPr>
      <w:numPr>
        <w:numId w:val="6"/>
      </w:numPr>
    </w:pPr>
  </w:style>
  <w:style w:type="paragraph" w:styleId="ListNumber5">
    <w:name w:val="List Number 5"/>
    <w:basedOn w:val="List5"/>
    <w:rsid w:val="00264671"/>
    <w:pPr>
      <w:numPr>
        <w:numId w:val="7"/>
      </w:numPr>
    </w:pPr>
  </w:style>
  <w:style w:type="paragraph" w:styleId="BlockText">
    <w:name w:val="Block Text"/>
    <w:basedOn w:val="Normal"/>
    <w:rsid w:val="00264671"/>
    <w:pPr>
      <w:spacing w:after="120"/>
      <w:ind w:left="1440" w:right="1440"/>
    </w:pPr>
  </w:style>
  <w:style w:type="character" w:customStyle="1" w:styleId="Subscript">
    <w:name w:val="Subscript"/>
    <w:basedOn w:val="DefaultParagraphFont"/>
    <w:rsid w:val="00264671"/>
    <w:rPr>
      <w:sz w:val="16"/>
      <w:vertAlign w:val="subscript"/>
    </w:rPr>
  </w:style>
  <w:style w:type="character" w:customStyle="1" w:styleId="Superscript">
    <w:name w:val="Superscript"/>
    <w:basedOn w:val="DefaultParagraphFont"/>
    <w:rsid w:val="00264671"/>
    <w:rPr>
      <w:sz w:val="16"/>
      <w:vertAlign w:val="superscript"/>
    </w:rPr>
  </w:style>
  <w:style w:type="character" w:customStyle="1" w:styleId="Symbols">
    <w:name w:val="Symbols"/>
    <w:basedOn w:val="DefaultParagraphFont"/>
    <w:rsid w:val="00264671"/>
    <w:rPr>
      <w:rFonts w:ascii="Symbol" w:hAnsi="Symbol"/>
    </w:rPr>
  </w:style>
  <w:style w:type="character" w:customStyle="1" w:styleId="MenuOptions">
    <w:name w:val="Menu Options"/>
    <w:basedOn w:val="DefaultParagraphFont"/>
    <w:rsid w:val="00264671"/>
    <w:rPr>
      <w:rFonts w:ascii="Arial Narrow" w:hAnsi="Arial Narrow"/>
      <w:smallCaps/>
    </w:rPr>
  </w:style>
  <w:style w:type="character" w:customStyle="1" w:styleId="Buttons">
    <w:name w:val="Buttons"/>
    <w:basedOn w:val="DefaultParagraphFont"/>
    <w:rsid w:val="00264671"/>
    <w:rPr>
      <w:b/>
    </w:rPr>
  </w:style>
  <w:style w:type="character" w:customStyle="1" w:styleId="Underlined">
    <w:name w:val="Underlined"/>
    <w:basedOn w:val="DefaultParagraphFont"/>
    <w:rsid w:val="00264671"/>
    <w:rPr>
      <w:u w:val="single"/>
    </w:rPr>
  </w:style>
  <w:style w:type="paragraph" w:customStyle="1" w:styleId="TableBodyTextRight">
    <w:name w:val="Table Body Text Right"/>
    <w:basedOn w:val="TableBodyText"/>
    <w:rsid w:val="00264671"/>
    <w:pPr>
      <w:widowControl w:val="0"/>
      <w:autoSpaceDE w:val="0"/>
      <w:autoSpaceDN w:val="0"/>
      <w:adjustRightInd w:val="0"/>
      <w:jc w:val="right"/>
    </w:pPr>
    <w:rPr>
      <w:rFonts w:cs="Arial"/>
      <w:szCs w:val="18"/>
    </w:rPr>
  </w:style>
  <w:style w:type="paragraph" w:customStyle="1" w:styleId="CopyrightText">
    <w:name w:val="Copyright Text"/>
    <w:basedOn w:val="BodyText"/>
    <w:rsid w:val="00264671"/>
    <w:rPr>
      <w:sz w:val="18"/>
    </w:rPr>
  </w:style>
  <w:style w:type="paragraph" w:customStyle="1" w:styleId="BodySmallRight">
    <w:name w:val="Body Small Right"/>
    <w:basedOn w:val="BodyTextRight"/>
    <w:rsid w:val="00264671"/>
    <w:rPr>
      <w:sz w:val="18"/>
      <w:szCs w:val="18"/>
    </w:rPr>
  </w:style>
  <w:style w:type="paragraph" w:customStyle="1" w:styleId="MarginEdition">
    <w:name w:val="Margin Edition"/>
    <w:basedOn w:val="MarginNote"/>
    <w:rsid w:val="00264671"/>
    <w:pPr>
      <w:spacing w:before="0" w:after="0"/>
    </w:pPr>
    <w:rPr>
      <w:rFonts w:ascii="Times New Roman" w:hAnsi="Times New Roman"/>
      <w:color w:val="999999"/>
    </w:rPr>
  </w:style>
  <w:style w:type="paragraph" w:customStyle="1" w:styleId="Spacer">
    <w:name w:val="Spacer"/>
    <w:basedOn w:val="Normal"/>
    <w:rsid w:val="00264671"/>
    <w:rPr>
      <w:sz w:val="2"/>
      <w:szCs w:val="2"/>
    </w:rPr>
  </w:style>
  <w:style w:type="character" w:customStyle="1" w:styleId="Small">
    <w:name w:val="Small"/>
    <w:basedOn w:val="DefaultParagraphFont"/>
    <w:rsid w:val="00264671"/>
    <w:rPr>
      <w:sz w:val="16"/>
    </w:rPr>
  </w:style>
  <w:style w:type="paragraph" w:customStyle="1" w:styleId="WideTable">
    <w:name w:val="Wide Table"/>
    <w:basedOn w:val="Normal"/>
    <w:rsid w:val="00264671"/>
    <w:pPr>
      <w:ind w:left="-1418"/>
    </w:pPr>
    <w:rPr>
      <w:sz w:val="2"/>
      <w:szCs w:val="2"/>
    </w:rPr>
  </w:style>
  <w:style w:type="character" w:styleId="PageNumber">
    <w:name w:val="page number"/>
    <w:basedOn w:val="DefaultParagraphFont"/>
    <w:rsid w:val="00264671"/>
  </w:style>
  <w:style w:type="paragraph" w:styleId="Quote">
    <w:name w:val="Quote"/>
    <w:basedOn w:val="Heading1"/>
    <w:link w:val="QuoteChar"/>
    <w:qFormat/>
    <w:rsid w:val="00264671"/>
    <w:rPr>
      <w:b w:val="0"/>
      <w:sz w:val="72"/>
      <w:szCs w:val="72"/>
      <w:lang w:val="en-NZ"/>
    </w:rPr>
  </w:style>
  <w:style w:type="character" w:customStyle="1" w:styleId="QuoteChar">
    <w:name w:val="Quote Char"/>
    <w:basedOn w:val="DefaultParagraphFont"/>
    <w:link w:val="Quote"/>
    <w:rsid w:val="00264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671"/>
    <w:pPr>
      <w:pageBreakBefore/>
    </w:pPr>
  </w:style>
  <w:style w:type="paragraph" w:customStyle="1" w:styleId="Border">
    <w:name w:val="Border"/>
    <w:basedOn w:val="Normal"/>
    <w:qFormat/>
    <w:rsid w:val="00264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671"/>
    <w:rPr>
      <w:b/>
      <w:bCs/>
      <w:i/>
      <w:iCs/>
      <w:color w:val="auto"/>
    </w:rPr>
  </w:style>
  <w:style w:type="paragraph" w:styleId="IntenseQuote">
    <w:name w:val="Intense Quote"/>
    <w:basedOn w:val="Normal"/>
    <w:next w:val="Normal"/>
    <w:link w:val="IntenseQuoteChar"/>
    <w:uiPriority w:val="30"/>
    <w:qFormat/>
    <w:rsid w:val="00264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671"/>
    <w:rPr>
      <w:smallCaps/>
      <w:color w:val="auto"/>
      <w:u w:val="single"/>
    </w:rPr>
  </w:style>
  <w:style w:type="character" w:styleId="IntenseReference">
    <w:name w:val="Intense Reference"/>
    <w:basedOn w:val="DefaultParagraphFont"/>
    <w:uiPriority w:val="32"/>
    <w:qFormat/>
    <w:rsid w:val="00264671"/>
    <w:rPr>
      <w:b/>
      <w:bCs/>
      <w:smallCaps/>
      <w:color w:val="auto"/>
      <w:spacing w:val="5"/>
      <w:u w:val="single"/>
    </w:rPr>
  </w:style>
  <w:style w:type="paragraph" w:customStyle="1" w:styleId="2ColumnHeading">
    <w:name w:val="2Column Heading"/>
    <w:basedOn w:val="BodyText"/>
    <w:qFormat/>
    <w:rsid w:val="00264671"/>
    <w:pPr>
      <w:spacing w:after="60"/>
      <w:ind w:left="-2268"/>
    </w:pPr>
    <w:rPr>
      <w:b/>
    </w:rPr>
  </w:style>
  <w:style w:type="paragraph" w:customStyle="1" w:styleId="Heading1TOC">
    <w:name w:val="Heading1 TOC"/>
    <w:basedOn w:val="Normal"/>
    <w:qFormat/>
    <w:rsid w:val="00264671"/>
    <w:pPr>
      <w:spacing w:before="240" w:after="120"/>
    </w:pPr>
    <w:rPr>
      <w:rFonts w:ascii="Times New Roman" w:hAnsi="Times New Roman"/>
      <w:b/>
      <w:sz w:val="32"/>
    </w:rPr>
  </w:style>
  <w:style w:type="paragraph" w:customStyle="1" w:styleId="Heading2TOC">
    <w:name w:val="Heading2 TOC"/>
    <w:basedOn w:val="Normal"/>
    <w:qFormat/>
    <w:rsid w:val="00264671"/>
    <w:pPr>
      <w:spacing w:before="240" w:after="60"/>
    </w:pPr>
    <w:rPr>
      <w:rFonts w:ascii="Times New Roman" w:hAnsi="Times New Roman"/>
      <w:b/>
      <w:sz w:val="28"/>
    </w:rPr>
  </w:style>
  <w:style w:type="character" w:customStyle="1" w:styleId="Underline">
    <w:name w:val="Underline"/>
    <w:basedOn w:val="DefaultParagraphFont"/>
    <w:qFormat/>
    <w:rsid w:val="00264671"/>
    <w:rPr>
      <w:u w:val="single"/>
    </w:rPr>
  </w:style>
  <w:style w:type="character" w:customStyle="1" w:styleId="BoldandItalics">
    <w:name w:val="Bold and Italics"/>
    <w:qFormat/>
    <w:rsid w:val="00264671"/>
    <w:rPr>
      <w:b/>
      <w:i/>
      <w:u w:val="none"/>
    </w:rPr>
  </w:style>
  <w:style w:type="paragraph" w:styleId="BalloonText">
    <w:name w:val="Balloon Text"/>
    <w:basedOn w:val="Normal"/>
    <w:link w:val="BalloonTextChar"/>
    <w:rsid w:val="00264671"/>
    <w:rPr>
      <w:rFonts w:ascii="Tahoma" w:hAnsi="Tahoma" w:cs="Tahoma"/>
      <w:sz w:val="16"/>
      <w:szCs w:val="16"/>
    </w:rPr>
  </w:style>
  <w:style w:type="character" w:customStyle="1" w:styleId="BalloonTextChar">
    <w:name w:val="Balloon Text Char"/>
    <w:basedOn w:val="DefaultParagraphFont"/>
    <w:link w:val="BalloonText"/>
    <w:rsid w:val="00264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6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671"/>
    <w:rPr>
      <w:b/>
      <w:color w:val="660033"/>
      <w:spacing w:val="0"/>
    </w:rPr>
  </w:style>
  <w:style w:type="paragraph" w:customStyle="1" w:styleId="Nameditemlist">
    <w:name w:val="Named item list"/>
    <w:basedOn w:val="BodyText"/>
    <w:qFormat/>
    <w:rsid w:val="00264671"/>
    <w:pPr>
      <w:tabs>
        <w:tab w:val="left" w:pos="2835"/>
      </w:tabs>
      <w:ind w:left="2835" w:hanging="2835"/>
    </w:pPr>
  </w:style>
  <w:style w:type="paragraph" w:customStyle="1" w:styleId="BodyTextnopadding">
    <w:name w:val="Body Text no padding"/>
    <w:basedOn w:val="BodyText"/>
    <w:qFormat/>
    <w:rsid w:val="00264671"/>
    <w:pPr>
      <w:spacing w:before="0" w:after="0"/>
    </w:pPr>
  </w:style>
  <w:style w:type="paragraph" w:customStyle="1" w:styleId="BodyTextBold">
    <w:name w:val="Body Text Bold"/>
    <w:basedOn w:val="BodyText"/>
    <w:qFormat/>
    <w:rsid w:val="00264671"/>
    <w:rPr>
      <w:b/>
    </w:rPr>
  </w:style>
  <w:style w:type="character" w:styleId="Hyperlink">
    <w:name w:val="Hyperlink"/>
    <w:basedOn w:val="DefaultParagraphFont"/>
    <w:uiPriority w:val="99"/>
    <w:unhideWhenUsed/>
    <w:rsid w:val="00CA10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1281</Words>
  <Characters>8406</Characters>
  <Application>Microsoft Office Word</Application>
  <DocSecurity>0</DocSecurity>
  <Lines>254</Lines>
  <Paragraphs>140</Paragraphs>
  <ScaleCrop>false</ScaleCrop>
  <Company>Author-it Software Corporation Ltd.</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PUAOIL404 Apply decision making strategies in an oil spill response</dc:title>
  <dc:subject>Approved</dc:subject>
  <dc:creator>Public Skills Australia</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