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9B1" w:rsidP="00AC69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PUAOIL304 Use advanced equipment operations for oil spill response</w:t>
      </w:r>
      <w:r>
        <w:fldChar w:fldCharType="end"/>
      </w:r>
    </w:p>
    <w:p w:rsidR="00AC69B1" w:rsidP="00AC69B1">
      <w:pPr>
        <w:pStyle w:val="Version"/>
        <w:sectPr w:rsidSect="00BC7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A94" w:rsidP="00BC7A94">
      <w:pPr>
        <w:pStyle w:val="SuperHeading"/>
      </w:pPr>
      <w:r w:rsidRPr="00BC7A94">
        <w:t>PUAOIL304 Use advanced equipment operations for oil spill response</w:t>
      </w:r>
    </w:p>
    <w:p w:rsidR="00000000" w:rsidRPr="00BC7A94" w:rsidP="00BC7A94">
      <w:pPr>
        <w:pStyle w:val="Heading1"/>
      </w:pPr>
      <w:bookmarkStart w:id="1" w:name="O_1031419"/>
      <w:bookmarkEnd w:id="1"/>
      <w:r w:rsidRPr="00BC7A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Release 1.</w:t>
            </w:r>
            <w:r w:rsidRPr="00BC7A94">
              <w:t xml:space="preserve"> This is the first release of this unit of competency in the PUA Public Safety Training Package.</w:t>
            </w:r>
          </w:p>
        </w:tc>
      </w:tr>
    </w:tbl>
    <w:p w:rsidR="00000000" w:rsidRPr="00BC7A94" w:rsidP="00BC7A94">
      <w:pPr>
        <w:pStyle w:val="NoPaddingFontSize1"/>
      </w:pPr>
    </w:p>
    <w:p w:rsidR="00000000" w:rsidRPr="00BC7A94" w:rsidP="00BC7A94">
      <w:pPr>
        <w:pStyle w:val="AllowPageBreak"/>
      </w:pPr>
    </w:p>
    <w:p w:rsidR="00000000" w:rsidRPr="00BC7A94" w:rsidP="00BC7A94">
      <w:pPr>
        <w:pStyle w:val="Heading1"/>
      </w:pPr>
      <w:bookmarkStart w:id="2" w:name="O_1031420"/>
      <w:bookmarkEnd w:id="2"/>
      <w:r w:rsidRPr="00BC7A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t xml:space="preserve">This unit involves the skills and knowledge required to safely deploy, operate, monitor and recover advanced oil spill response equipment. </w:t>
            </w:r>
          </w:p>
          <w:p w:rsidR="00000000" w:rsidRPr="00BC7A94" w:rsidP="00BC7A94">
            <w:pPr>
              <w:pStyle w:val="BodyText"/>
            </w:pPr>
            <w:r w:rsidRPr="00BC7A94">
              <w:t>The unit is applicable to personnel responsible for the choices and deployment of appropriate advanced oil spill res</w:t>
            </w:r>
            <w:r w:rsidRPr="00BC7A94">
              <w:t>ponse equipment to meet the type of oil spill operations and environmental conditions for Level 1, 2 or 3 responses.</w:t>
            </w:r>
          </w:p>
          <w:p w:rsidR="00000000" w:rsidRPr="00BC7A94" w:rsidP="00BC7A94">
            <w:pPr>
              <w:pStyle w:val="BodyText"/>
            </w:pPr>
            <w:r w:rsidRPr="00BC7A94">
              <w:t>No licensing, legislative or certification requirements apply to this unit at the time of publication.</w:t>
            </w:r>
          </w:p>
        </w:tc>
      </w:tr>
    </w:tbl>
    <w:p w:rsidR="00000000" w:rsidRPr="00BC7A94" w:rsidP="00BC7A94">
      <w:pPr>
        <w:pStyle w:val="NoPaddingFontSize1"/>
      </w:pPr>
    </w:p>
    <w:p w:rsidR="00000000" w:rsidRPr="00BC7A94" w:rsidP="00BC7A94">
      <w:pPr>
        <w:pStyle w:val="AllowPageBreak"/>
      </w:pPr>
    </w:p>
    <w:p w:rsidR="00000000" w:rsidRPr="00BC7A94" w:rsidP="00BC7A94">
      <w:pPr>
        <w:pStyle w:val="Heading1"/>
      </w:pPr>
      <w:bookmarkStart w:id="3" w:name="O_1031421"/>
      <w:bookmarkEnd w:id="3"/>
      <w:r w:rsidRPr="00BC7A94">
        <w:t>Pre-requisite U</w:t>
      </w:r>
      <w:r w:rsidRPr="00BC7A94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t>Not applicable.</w:t>
            </w:r>
          </w:p>
        </w:tc>
      </w:tr>
    </w:tbl>
    <w:p w:rsidR="00000000" w:rsidRPr="00BC7A94" w:rsidP="00BC7A94">
      <w:pPr>
        <w:pStyle w:val="NoPaddingFontSize1"/>
      </w:pPr>
    </w:p>
    <w:p w:rsidR="00000000" w:rsidRPr="00BC7A94" w:rsidP="00BC7A94">
      <w:pPr>
        <w:pStyle w:val="AllowPageBreak"/>
      </w:pPr>
    </w:p>
    <w:p w:rsidR="00000000" w:rsidRPr="00BC7A94" w:rsidP="00BC7A94">
      <w:pPr>
        <w:pStyle w:val="Heading1"/>
      </w:pPr>
      <w:bookmarkStart w:id="4" w:name="O_1031422"/>
      <w:bookmarkEnd w:id="4"/>
      <w:r w:rsidRPr="00BC7A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t>Marine Pollution Response</w:t>
            </w:r>
          </w:p>
        </w:tc>
      </w:tr>
    </w:tbl>
    <w:p w:rsidR="00000000" w:rsidRPr="00BC7A94" w:rsidP="00BC7A94">
      <w:pPr>
        <w:pStyle w:val="NoPaddingFontSize1"/>
      </w:pPr>
    </w:p>
    <w:p w:rsidR="00000000" w:rsidRPr="00BC7A94" w:rsidP="00BC7A94">
      <w:pPr>
        <w:pStyle w:val="AllowPageBreak"/>
      </w:pPr>
    </w:p>
    <w:p w:rsidR="00000000" w:rsidRPr="00BC7A94" w:rsidP="00BC7A94">
      <w:pPr>
        <w:pStyle w:val="Heading1"/>
      </w:pPr>
      <w:bookmarkStart w:id="5" w:name="O_1031423"/>
      <w:bookmarkEnd w:id="5"/>
      <w:r w:rsidRPr="00BC7A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t>Not applicable</w:t>
            </w:r>
          </w:p>
        </w:tc>
      </w:tr>
    </w:tbl>
    <w:p w:rsidR="00000000" w:rsidRPr="00BC7A94" w:rsidP="00BC7A94">
      <w:pPr>
        <w:pStyle w:val="NoPaddingFontSize1"/>
      </w:pPr>
    </w:p>
    <w:p w:rsidR="00000000" w:rsidRPr="00BC7A94" w:rsidP="00BC7A94">
      <w:pPr>
        <w:pStyle w:val="AllowPageBreak"/>
      </w:pPr>
    </w:p>
    <w:p w:rsidR="00000000" w:rsidRPr="00BC7A94" w:rsidP="00BC7A94">
      <w:pPr>
        <w:pStyle w:val="Heading1"/>
      </w:pPr>
      <w:bookmarkStart w:id="6" w:name="O_1031424"/>
      <w:bookmarkEnd w:id="6"/>
      <w:r w:rsidRPr="00BC7A9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PERFORMANCE CRITERIA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Performance criteria describe the performance needed to demonstrate achievement of the element.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Manage safety of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Identify hazards and risks for the site and equipment use through a job safety analysis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Apply the hierarchy of controls to manage hazards and risks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Select, use, maintain and store personal protective clothing and equipment, in accordance with Work, Health and Safety (WHS)/Occupational Health and Safety (OHS) and Safety Data Sheet (SDS) requirements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Communicate with work team and incident management</w:t>
            </w:r>
            <w:r w:rsidRPr="00BC7A94">
              <w:rPr>
                <w:rStyle w:val="SpecialBold"/>
              </w:rPr>
              <w:t xml:space="preserve"> team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 xml:space="preserve">Prepare site specific deployment plans based on the incident action plan 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Plan, prepare and present briefs and debriefs to relevant personnel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Maintain communication channels with all stakeholders involved in the deployment and recov</w:t>
            </w:r>
            <w:r w:rsidRPr="00BC7A94">
              <w:t>ery of oil spill response equipment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Ensure oil spill response personnel can deploy equipment in a team environment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Prepare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Identify required advanced oil spill response equipment using the incident action plan and/or site specific deployment plan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Conduct routine preoperational checks of equipment using organisational procedures and manufacturers</w:t>
            </w:r>
            <w:r>
              <w:t>’</w:t>
            </w:r>
            <w:r w:rsidRPr="00BC7A94">
              <w:t xml:space="preserve"> specifications  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Identify and segregate faulty equipment for repair or replacement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Identify equipment requiring licensed operators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Operate and/or deploy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Use equipment, in accordance with state, territory and Commonwealth licensing requirements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Operate and monitor equipment, in accordance with organisational procedures, manufacturers</w:t>
            </w:r>
            <w:r>
              <w:t>’</w:t>
            </w:r>
            <w:r w:rsidRPr="00BC7A94">
              <w:t xml:space="preserve"> specifications and supervisor’s instructions 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 xml:space="preserve">Carry out work, in accordance with organisational procedures, WHS/OHS requirements and the incident action </w:t>
            </w:r>
            <w:r w:rsidRPr="00BC7A94">
              <w:t>plan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Identify and record the use of equipment consumables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Monitor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Monitor, assess and reassess the effectiveness of equipment and/or the recovery operation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Identify, action and monitor environmental implications associated with the operation and maintenance of equipment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Identify any changes to response as a result of ongoing monitoring of operations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rPr>
                <w:rStyle w:val="SpecialBold"/>
              </w:rPr>
              <w:t>Check, clean and store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Maintain reco</w:t>
            </w:r>
            <w:r w:rsidRPr="00BC7A94">
              <w:t xml:space="preserve">rds of equipment use, in accordance with organisational procedures, the incident management system and incident action plan 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Clean, secure and store equipment, in accordance with organisational procedures, manufacturers</w:t>
            </w:r>
            <w:r>
              <w:t>’</w:t>
            </w:r>
            <w:r w:rsidRPr="00BC7A94">
              <w:t xml:space="preserve"> specifications, maintenance </w:t>
            </w:r>
            <w:r w:rsidRPr="00BC7A94">
              <w:t xml:space="preserve">manual and/or supervisor’s instructions 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t>Report and take action on equipment malfunction, fault, wear or damage, in accordance with organisational procedures</w:t>
            </w:r>
          </w:p>
        </w:tc>
      </w:tr>
      <w:tr w:rsidTr="00BC7A9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94">
            <w:pPr>
              <w:pStyle w:val="BodyText"/>
              <w:rPr>
                <w:lang w:val="en-NZ"/>
              </w:rPr>
            </w:pPr>
            <w:r w:rsidRPr="00BC7A94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t>Maintain and clean workplace, in accordance with organisational procedures, WHS/OHS requirements and demobilisation plan</w:t>
            </w:r>
          </w:p>
        </w:tc>
      </w:tr>
    </w:tbl>
    <w:p w:rsidR="00000000" w:rsidRPr="00BC7A94" w:rsidP="00BC7A94">
      <w:pPr>
        <w:pStyle w:val="NoPaddingFontSize1"/>
      </w:pPr>
    </w:p>
    <w:p w:rsidR="00000000" w:rsidRPr="00BC7A94" w:rsidP="00BC7A94">
      <w:pPr>
        <w:pStyle w:val="AllowPageBreak"/>
      </w:pPr>
    </w:p>
    <w:p w:rsidR="00000000" w:rsidRPr="00BC7A94" w:rsidP="00BC7A94">
      <w:pPr>
        <w:pStyle w:val="Heading1"/>
      </w:pPr>
      <w:bookmarkStart w:id="7" w:name="O_1031425"/>
      <w:bookmarkEnd w:id="7"/>
      <w:r w:rsidRPr="00BC7A9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t>Foundation skills essential to performance are explicit in the performance criteria of this unit</w:t>
            </w:r>
            <w:r w:rsidRPr="00BC7A94">
              <w:t xml:space="preserve"> of competency.</w:t>
            </w:r>
          </w:p>
        </w:tc>
      </w:tr>
    </w:tbl>
    <w:p w:rsidR="00000000" w:rsidRPr="00BC7A94" w:rsidP="00BC7A94">
      <w:pPr>
        <w:pStyle w:val="NoPaddingFontSize1"/>
      </w:pPr>
    </w:p>
    <w:p w:rsidR="00000000" w:rsidRPr="00BC7A94" w:rsidP="00BC7A94">
      <w:pPr>
        <w:pStyle w:val="AllowPageBreak"/>
      </w:pPr>
    </w:p>
    <w:p w:rsidR="00000000" w:rsidRPr="00BC7A94" w:rsidP="00BC7A94">
      <w:pPr>
        <w:pStyle w:val="Heading1"/>
      </w:pPr>
      <w:bookmarkStart w:id="8" w:name="O_1031426"/>
      <w:bookmarkEnd w:id="8"/>
      <w:r w:rsidRPr="00BC7A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t>Range is restricted to essential operating conditions and any other variables essential to the work environment.</w:t>
            </w:r>
          </w:p>
          <w:p w:rsidR="00000000" w:rsidRPr="00BC7A94" w:rsidP="00BC7A94">
            <w:pPr>
              <w:pStyle w:val="BodyText"/>
            </w:pPr>
            <w:r w:rsidRPr="00BC7A94">
              <w:t>Non-essential conditions may be found in the Companion Volume Implementation Guide.</w:t>
            </w:r>
          </w:p>
        </w:tc>
      </w:tr>
    </w:tbl>
    <w:p w:rsidR="00000000" w:rsidRPr="00BC7A94" w:rsidP="00BC7A94">
      <w:pPr>
        <w:pStyle w:val="NoPaddingFontSize1"/>
      </w:pPr>
    </w:p>
    <w:p w:rsidR="00000000" w:rsidRPr="00BC7A94" w:rsidP="00BC7A94">
      <w:pPr>
        <w:pStyle w:val="AllowPageBreak"/>
      </w:pPr>
    </w:p>
    <w:p w:rsidR="00000000" w:rsidRPr="00BC7A94" w:rsidP="00BC7A94">
      <w:pPr>
        <w:pStyle w:val="Heading1"/>
      </w:pPr>
      <w:bookmarkStart w:id="9" w:name="O_1031427"/>
      <w:bookmarkEnd w:id="9"/>
      <w:r w:rsidRPr="00BC7A9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7A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94" w:rsidP="00BC7A94">
            <w:pPr>
              <w:pStyle w:val="BodyText"/>
            </w:pPr>
            <w:r w:rsidRPr="00BC7A94">
              <w:t>This unit replaces and is equivalent to PUAOIL302 Use advanced equipment operations for oil spill response.</w:t>
            </w:r>
          </w:p>
        </w:tc>
      </w:tr>
    </w:tbl>
    <w:p w:rsidR="00000000" w:rsidRPr="00BC7A94" w:rsidP="00BC7A94">
      <w:pPr>
        <w:pStyle w:val="NoPaddingFontSize1"/>
      </w:pPr>
    </w:p>
    <w:p w:rsidR="00000000" w:rsidRPr="00BC7A94" w:rsidP="00BC7A94">
      <w:pPr>
        <w:pStyle w:val="AllowPageBreak"/>
      </w:pPr>
    </w:p>
    <w:p w:rsidR="00000000" w:rsidRPr="00BC7A94" w:rsidP="00BC7A94">
      <w:pPr>
        <w:pStyle w:val="Heading1"/>
      </w:pPr>
      <w:bookmarkStart w:id="10" w:name="O_1031434"/>
      <w:bookmarkEnd w:id="10"/>
      <w:r w:rsidRPr="00BC7A94">
        <w:t>Links</w:t>
      </w:r>
    </w:p>
    <w:p w:rsidR="00000000" w:rsidRPr="00BC7A94" w:rsidP="00AC69B1">
      <w:pPr>
        <w:pStyle w:val="BodyText"/>
      </w:pPr>
      <w:r w:rsidRPr="00BC7A94">
        <w:t>PUA Training Package Companion Volume Implementation Guide is found in VETNet</w:t>
      </w:r>
      <w:r w:rsidRPr="00BC7A94">
        <w:t xml:space="preserve">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E129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C7A94" w:rsidP="00BC7A94"/>
    <w:sectPr w:rsidSect="00BC7A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94" w:rsidRPr="00AC69B1" w:rsidP="00AC69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9B1" w:rsidP="00BC7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9B1" w:rsidP="00BC7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C69B1" w:rsidP="00BC7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9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A94" w:rsidRPr="00AC69B1" w:rsidP="00AC69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9B1" w:rsidRPr="002D2AF8" w:rsidP="00BC7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PUAOIL304 Use advanced equipment operations for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C69B1" w:rsidP="00BC7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A94"/>
  </w:style>
  <w:style w:type="character" w:customStyle="1" w:styleId="Heading1Char">
    <w:name w:val="Heading 1 Char"/>
    <w:basedOn w:val="DefaultParagraphFont"/>
    <w:link w:val="Heading1"/>
    <w:rsid w:val="00BC7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A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7A94"/>
    <w:rPr>
      <w:b/>
      <w:spacing w:val="0"/>
    </w:rPr>
  </w:style>
  <w:style w:type="paragraph" w:customStyle="1" w:styleId="SuperHeading">
    <w:name w:val="SuperHeading"/>
    <w:basedOn w:val="Normal"/>
    <w:rsid w:val="00BC7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7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A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A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7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A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A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A94"/>
    <w:rPr>
      <w:i/>
    </w:rPr>
  </w:style>
  <w:style w:type="paragraph" w:styleId="Caption">
    <w:name w:val="caption"/>
    <w:basedOn w:val="BodyText"/>
    <w:next w:val="Normal"/>
    <w:qFormat/>
    <w:rsid w:val="00BC7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A94"/>
  </w:style>
  <w:style w:type="paragraph" w:styleId="TableofFigures">
    <w:name w:val="table of figures"/>
    <w:basedOn w:val="Normal"/>
    <w:next w:val="Normal"/>
    <w:semiHidden/>
    <w:rsid w:val="00BC7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A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7A94"/>
    <w:rPr>
      <w:rFonts w:ascii="Wingdings" w:hAnsi="Wingdings"/>
    </w:rPr>
  </w:style>
  <w:style w:type="paragraph" w:customStyle="1" w:styleId="TableHeading">
    <w:name w:val="Table Heading"/>
    <w:basedOn w:val="HeadingBase"/>
    <w:rsid w:val="00BC7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A94"/>
    <w:rPr>
      <w:color w:val="0033CC"/>
      <w:u w:val="none"/>
    </w:rPr>
  </w:style>
  <w:style w:type="paragraph" w:customStyle="1" w:styleId="BodyTextRight">
    <w:name w:val="Body Text Right"/>
    <w:basedOn w:val="BodyText"/>
    <w:rsid w:val="00BC7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A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A94"/>
    <w:rPr>
      <w:sz w:val="32"/>
    </w:rPr>
  </w:style>
  <w:style w:type="paragraph" w:customStyle="1" w:styleId="HeadingProcedure">
    <w:name w:val="Heading Procedure"/>
    <w:basedOn w:val="HeadingBase"/>
    <w:next w:val="Normal"/>
    <w:rsid w:val="00BC7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A94"/>
    <w:pPr>
      <w:spacing w:before="60" w:after="60"/>
    </w:pPr>
  </w:style>
  <w:style w:type="paragraph" w:styleId="ListContinue">
    <w:name w:val="List Continue"/>
    <w:basedOn w:val="List"/>
    <w:rsid w:val="00BC7A94"/>
    <w:pPr>
      <w:ind w:firstLine="0"/>
    </w:pPr>
  </w:style>
  <w:style w:type="paragraph" w:customStyle="1" w:styleId="ListNote">
    <w:name w:val="List Note"/>
    <w:basedOn w:val="List"/>
    <w:rsid w:val="00BC7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A94"/>
    <w:rPr>
      <w:rFonts w:ascii="Courier New" w:hAnsi="Courier New"/>
    </w:rPr>
  </w:style>
  <w:style w:type="paragraph" w:customStyle="1" w:styleId="NoteBullet">
    <w:name w:val="Note Bullet"/>
    <w:basedOn w:val="Note"/>
    <w:rsid w:val="00BC7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A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7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A94"/>
    <w:rPr>
      <w:b/>
      <w:smallCaps/>
    </w:rPr>
  </w:style>
  <w:style w:type="paragraph" w:customStyle="1" w:styleId="TableListNumber">
    <w:name w:val="Table List Number"/>
    <w:basedOn w:val="ListNumber"/>
    <w:rsid w:val="00BC7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A94"/>
    <w:pPr>
      <w:numPr>
        <w:numId w:val="7"/>
      </w:numPr>
    </w:pPr>
  </w:style>
  <w:style w:type="paragraph" w:customStyle="1" w:styleId="ListAlpha2">
    <w:name w:val="List Alpha 2"/>
    <w:basedOn w:val="List2"/>
    <w:rsid w:val="00BC7A94"/>
    <w:pPr>
      <w:numPr>
        <w:numId w:val="6"/>
      </w:numPr>
    </w:pPr>
  </w:style>
  <w:style w:type="paragraph" w:styleId="List2">
    <w:name w:val="List 2"/>
    <w:basedOn w:val="BodyText"/>
    <w:rsid w:val="00BC7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A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A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7A94"/>
    <w:pPr>
      <w:numPr>
        <w:numId w:val="2"/>
      </w:numPr>
    </w:pPr>
  </w:style>
  <w:style w:type="paragraph" w:styleId="ListContinue2">
    <w:name w:val="List Continue 2"/>
    <w:basedOn w:val="List2"/>
    <w:rsid w:val="00BC7A94"/>
    <w:pPr>
      <w:ind w:firstLine="0"/>
    </w:pPr>
  </w:style>
  <w:style w:type="paragraph" w:styleId="ListContinue3">
    <w:name w:val="List Continue 3"/>
    <w:basedOn w:val="List3"/>
    <w:rsid w:val="00BC7A94"/>
    <w:pPr>
      <w:ind w:left="1021" w:firstLine="0"/>
    </w:pPr>
  </w:style>
  <w:style w:type="paragraph" w:styleId="ListContinue4">
    <w:name w:val="List Continue 4"/>
    <w:basedOn w:val="List4"/>
    <w:rsid w:val="00BC7A94"/>
    <w:pPr>
      <w:ind w:firstLine="0"/>
    </w:pPr>
  </w:style>
  <w:style w:type="paragraph" w:styleId="ListContinue5">
    <w:name w:val="List Continue 5"/>
    <w:basedOn w:val="List5"/>
    <w:rsid w:val="00BC7A94"/>
    <w:pPr>
      <w:ind w:firstLine="0"/>
    </w:pPr>
  </w:style>
  <w:style w:type="paragraph" w:styleId="ListNumber3">
    <w:name w:val="List Number 3"/>
    <w:basedOn w:val="List3"/>
    <w:rsid w:val="00BC7A94"/>
    <w:pPr>
      <w:numPr>
        <w:numId w:val="3"/>
      </w:numPr>
    </w:pPr>
  </w:style>
  <w:style w:type="paragraph" w:styleId="ListNumber4">
    <w:name w:val="List Number 4"/>
    <w:basedOn w:val="List4"/>
    <w:rsid w:val="00BC7A94"/>
    <w:pPr>
      <w:numPr>
        <w:numId w:val="4"/>
      </w:numPr>
    </w:pPr>
  </w:style>
  <w:style w:type="paragraph" w:styleId="ListNumber5">
    <w:name w:val="List Number 5"/>
    <w:basedOn w:val="List5"/>
    <w:rsid w:val="00BC7A94"/>
    <w:pPr>
      <w:numPr>
        <w:numId w:val="5"/>
      </w:numPr>
    </w:pPr>
  </w:style>
  <w:style w:type="paragraph" w:styleId="BlockText">
    <w:name w:val="Block Text"/>
    <w:basedOn w:val="Normal"/>
    <w:rsid w:val="00BC7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A94"/>
    <w:rPr>
      <w:sz w:val="16"/>
      <w:vertAlign w:val="superscript"/>
    </w:rPr>
  </w:style>
  <w:style w:type="character" w:customStyle="1" w:styleId="Symbols">
    <w:name w:val="Symbols"/>
    <w:basedOn w:val="DefaultParagraphFont"/>
    <w:rsid w:val="00BC7A94"/>
    <w:rPr>
      <w:rFonts w:ascii="Symbol" w:hAnsi="Symbol"/>
    </w:rPr>
  </w:style>
  <w:style w:type="character" w:customStyle="1" w:styleId="MenuOptions">
    <w:name w:val="Menu Options"/>
    <w:basedOn w:val="DefaultParagraphFont"/>
    <w:rsid w:val="00BC7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A94"/>
    <w:rPr>
      <w:b/>
    </w:rPr>
  </w:style>
  <w:style w:type="character" w:customStyle="1" w:styleId="Underlined">
    <w:name w:val="Underlined"/>
    <w:basedOn w:val="DefaultParagraphFont"/>
    <w:rsid w:val="00BC7A94"/>
    <w:rPr>
      <w:u w:val="single"/>
    </w:rPr>
  </w:style>
  <w:style w:type="paragraph" w:customStyle="1" w:styleId="TableBodyTextRight">
    <w:name w:val="Table Body Text Right"/>
    <w:basedOn w:val="TableBodyText"/>
    <w:rsid w:val="00BC7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A94"/>
    <w:rPr>
      <w:sz w:val="18"/>
    </w:rPr>
  </w:style>
  <w:style w:type="paragraph" w:customStyle="1" w:styleId="BodySmallRight">
    <w:name w:val="Body Small Right"/>
    <w:basedOn w:val="BodyTextRight"/>
    <w:rsid w:val="00BC7A94"/>
    <w:rPr>
      <w:sz w:val="18"/>
      <w:szCs w:val="18"/>
    </w:rPr>
  </w:style>
  <w:style w:type="paragraph" w:customStyle="1" w:styleId="MarginEdition">
    <w:name w:val="Margin Edition"/>
    <w:basedOn w:val="MarginNote"/>
    <w:rsid w:val="00BC7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A94"/>
    <w:rPr>
      <w:sz w:val="2"/>
      <w:szCs w:val="2"/>
    </w:rPr>
  </w:style>
  <w:style w:type="character" w:customStyle="1" w:styleId="Small">
    <w:name w:val="Small"/>
    <w:basedOn w:val="DefaultParagraphFont"/>
    <w:rsid w:val="00BC7A94"/>
    <w:rPr>
      <w:sz w:val="16"/>
    </w:rPr>
  </w:style>
  <w:style w:type="paragraph" w:customStyle="1" w:styleId="WideTable">
    <w:name w:val="Wide Table"/>
    <w:basedOn w:val="Normal"/>
    <w:rsid w:val="00BC7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A94"/>
  </w:style>
  <w:style w:type="paragraph" w:styleId="Quote">
    <w:name w:val="Quote"/>
    <w:basedOn w:val="Heading1"/>
    <w:link w:val="QuoteChar"/>
    <w:qFormat/>
    <w:rsid w:val="00BC7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A94"/>
    <w:pPr>
      <w:pageBreakBefore/>
    </w:pPr>
  </w:style>
  <w:style w:type="paragraph" w:customStyle="1" w:styleId="Border">
    <w:name w:val="Border"/>
    <w:basedOn w:val="Normal"/>
    <w:qFormat/>
    <w:rsid w:val="00BC7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A94"/>
    <w:rPr>
      <w:u w:val="single"/>
    </w:rPr>
  </w:style>
  <w:style w:type="character" w:customStyle="1" w:styleId="BoldandItalics">
    <w:name w:val="Bold and Italics"/>
    <w:qFormat/>
    <w:rsid w:val="00BC7A94"/>
    <w:rPr>
      <w:b/>
      <w:i/>
      <w:u w:val="none"/>
    </w:rPr>
  </w:style>
  <w:style w:type="paragraph" w:styleId="BalloonText">
    <w:name w:val="Balloon Text"/>
    <w:basedOn w:val="Normal"/>
    <w:link w:val="BalloonTextChar"/>
    <w:rsid w:val="00BC7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A94"/>
    <w:pPr>
      <w:spacing w:before="0" w:after="0"/>
    </w:pPr>
  </w:style>
  <w:style w:type="paragraph" w:customStyle="1" w:styleId="BodyTextBold">
    <w:name w:val="Body Text Bold"/>
    <w:basedOn w:val="BodyText"/>
    <w:qFormat/>
    <w:rsid w:val="00BC7A94"/>
    <w:rPr>
      <w:b/>
    </w:rPr>
  </w:style>
  <w:style w:type="character" w:styleId="Hyperlink">
    <w:name w:val="Hyperlink"/>
    <w:basedOn w:val="DefaultParagraphFont"/>
    <w:uiPriority w:val="99"/>
    <w:unhideWhenUsed/>
    <w:rsid w:val="00AC69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3921</Characters>
  <Application>Microsoft Office Word</Application>
  <DocSecurity>0</DocSecurity>
  <Lines>206</Lines>
  <Paragraphs>103</Paragraphs>
  <ScaleCrop>false</ScaleCrop>
  <Company>Author-it Software Corporation Ltd.</Company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PUAOIL304 Use advanced equipment operations for oil spill response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