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6F11" w:rsidP="00B36F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PUAOIL202 Use basic equipment operations for oil spill response</w:t>
      </w:r>
      <w:r>
        <w:fldChar w:fldCharType="end"/>
      </w:r>
    </w:p>
    <w:p w:rsidR="00B36F11" w:rsidP="00B36F11">
      <w:pPr>
        <w:pStyle w:val="Version"/>
        <w:sectPr w:rsidSect="00356F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6F77" w:rsidP="00356F77">
      <w:pPr>
        <w:pStyle w:val="SuperHeading"/>
      </w:pPr>
      <w:r w:rsidRPr="00356F77">
        <w:t>PUAOIL202 Use basic equipment operations for oil spill response</w:t>
      </w:r>
    </w:p>
    <w:p w:rsidR="00000000" w:rsidRPr="00356F77" w:rsidP="00356F77">
      <w:pPr>
        <w:pStyle w:val="Heading1"/>
      </w:pPr>
      <w:bookmarkStart w:id="1" w:name="O_1031381"/>
      <w:bookmarkEnd w:id="1"/>
      <w:r w:rsidRPr="00356F7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6F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F77" w:rsidP="00356F77">
            <w:pPr>
              <w:pStyle w:val="BodyText"/>
            </w:pPr>
            <w:r w:rsidRPr="00356F77">
              <w:rPr>
                <w:rStyle w:val="SpecialBold"/>
              </w:rPr>
              <w:t>Release 1.</w:t>
            </w:r>
            <w:r w:rsidRPr="00356F77">
              <w:t xml:space="preserve"> This is the first release of this unit of competency in the PUA Public Safety Training Package.</w:t>
            </w:r>
          </w:p>
        </w:tc>
      </w:tr>
    </w:tbl>
    <w:p w:rsidR="00B36F11" w:rsidP="00356F77">
      <w:pPr>
        <w:pStyle w:val="NoPaddingFontSize1"/>
      </w:pPr>
    </w:p>
    <w:p w:rsidR="00B36F11" w:rsidP="00356F77">
      <w:pPr>
        <w:pStyle w:val="NoPaddingFontSize1"/>
      </w:pPr>
    </w:p>
    <w:p w:rsidR="00000000" w:rsidRPr="00356F77" w:rsidP="00356F77">
      <w:pPr>
        <w:pStyle w:val="Heading1"/>
      </w:pPr>
      <w:bookmarkStart w:id="2" w:name="O_1031382"/>
      <w:bookmarkEnd w:id="2"/>
      <w:r w:rsidRPr="00356F7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6F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F77" w:rsidP="00356F77">
            <w:pPr>
              <w:pStyle w:val="BodyText"/>
            </w:pPr>
            <w:r w:rsidRPr="00356F77">
              <w:t>This unit of competency involves the skills and knowledge required to operate, deploy, monitor and recover basic (Level 1) oil spill response equipment, whilst working as a team member.</w:t>
            </w:r>
          </w:p>
          <w:p w:rsidR="00000000" w:rsidRPr="00356F77" w:rsidP="00356F77">
            <w:pPr>
              <w:pStyle w:val="BodyText"/>
            </w:pPr>
            <w:r w:rsidRPr="00356F77">
              <w:t>An oil spill is the release of liquid petroleum hydrocarbon into the e</w:t>
            </w:r>
            <w:r w:rsidRPr="00356F77">
              <w:t xml:space="preserve">nvironment, either aquatic or on land. There are three categorised levels of oil spills; Level 1 spills are mild, causing localised damage in marine and or land environments.  </w:t>
            </w:r>
          </w:p>
          <w:p w:rsidR="00000000" w:rsidRPr="00356F77" w:rsidP="00356F77">
            <w:pPr>
              <w:pStyle w:val="BodyText"/>
            </w:pPr>
            <w:r w:rsidRPr="00356F77">
              <w:t>The unit is applicable to personnel deployed to operate basic (Level 1) oil spi</w:t>
            </w:r>
            <w:r w:rsidRPr="00356F77">
              <w:t>ll response equipment.</w:t>
            </w:r>
          </w:p>
          <w:p w:rsidR="00000000" w:rsidRPr="00356F77" w:rsidP="00356F77">
            <w:pPr>
              <w:pStyle w:val="BodyText"/>
            </w:pPr>
            <w:r w:rsidRPr="00356F77">
              <w:t>No licensing, legislative or certification requirements apply to this unit at the time of publication.</w:t>
            </w:r>
          </w:p>
        </w:tc>
      </w:tr>
    </w:tbl>
    <w:p w:rsidR="00000000" w:rsidRPr="00356F77" w:rsidP="00356F77">
      <w:pPr>
        <w:pStyle w:val="NoPaddingFontSize1"/>
      </w:pPr>
    </w:p>
    <w:p w:rsidR="00000000" w:rsidRPr="00356F77" w:rsidP="00356F77">
      <w:pPr>
        <w:pStyle w:val="AllowPageBreak"/>
      </w:pPr>
    </w:p>
    <w:p w:rsidR="00000000" w:rsidRPr="00356F77" w:rsidP="00356F77">
      <w:pPr>
        <w:pStyle w:val="Heading1"/>
      </w:pPr>
      <w:bookmarkStart w:id="3" w:name="O_1031383"/>
      <w:bookmarkEnd w:id="3"/>
      <w:r w:rsidRPr="00356F7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6F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F77" w:rsidP="00356F77">
            <w:pPr>
              <w:pStyle w:val="BodyText"/>
            </w:pPr>
            <w:r w:rsidRPr="00356F77">
              <w:t>Not applicable.</w:t>
            </w:r>
          </w:p>
        </w:tc>
      </w:tr>
    </w:tbl>
    <w:p w:rsidR="00000000" w:rsidRPr="00356F77" w:rsidP="00356F77">
      <w:pPr>
        <w:pStyle w:val="NoPaddingFontSize1"/>
      </w:pPr>
    </w:p>
    <w:p w:rsidR="00000000" w:rsidRPr="00356F77" w:rsidP="00356F77">
      <w:pPr>
        <w:pStyle w:val="AllowPageBreak"/>
      </w:pPr>
    </w:p>
    <w:p w:rsidR="00000000" w:rsidRPr="00356F77" w:rsidP="00356F77">
      <w:pPr>
        <w:pStyle w:val="Heading1"/>
      </w:pPr>
      <w:bookmarkStart w:id="4" w:name="O_1031384"/>
      <w:bookmarkEnd w:id="4"/>
      <w:r w:rsidRPr="00356F7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6F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F77" w:rsidP="00356F77">
            <w:pPr>
              <w:pStyle w:val="BodyText"/>
            </w:pPr>
            <w:r w:rsidRPr="00356F77">
              <w:t>Marine Pollution Response</w:t>
            </w:r>
          </w:p>
        </w:tc>
      </w:tr>
    </w:tbl>
    <w:p w:rsidR="00000000" w:rsidRPr="00356F77" w:rsidP="00356F77">
      <w:pPr>
        <w:pStyle w:val="NoPaddingFontSize1"/>
      </w:pPr>
    </w:p>
    <w:p w:rsidR="00000000" w:rsidRPr="00356F77" w:rsidP="00356F77">
      <w:pPr>
        <w:pStyle w:val="AllowPageBreak"/>
      </w:pPr>
    </w:p>
    <w:p w:rsidR="00000000" w:rsidRPr="00356F77" w:rsidP="00356F77">
      <w:pPr>
        <w:pStyle w:val="Heading1"/>
      </w:pPr>
      <w:bookmarkStart w:id="5" w:name="O_1031385"/>
      <w:bookmarkEnd w:id="5"/>
      <w:r w:rsidRPr="00356F7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6F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F77" w:rsidP="00356F77">
            <w:pPr>
              <w:pStyle w:val="BodyText"/>
            </w:pPr>
            <w:r w:rsidRPr="00356F77">
              <w:t xml:space="preserve"> Not applicable</w:t>
            </w:r>
          </w:p>
        </w:tc>
      </w:tr>
    </w:tbl>
    <w:p w:rsidR="00000000" w:rsidRPr="00356F77" w:rsidP="00356F77">
      <w:pPr>
        <w:pStyle w:val="NoPaddingFontSize1"/>
      </w:pPr>
    </w:p>
    <w:p w:rsidR="00000000" w:rsidRPr="00356F77" w:rsidP="00356F77">
      <w:pPr>
        <w:pStyle w:val="AllowPageBreak"/>
      </w:pPr>
    </w:p>
    <w:p w:rsidR="00000000" w:rsidRPr="00356F77" w:rsidP="00356F77">
      <w:pPr>
        <w:pStyle w:val="Heading1"/>
      </w:pPr>
      <w:bookmarkStart w:id="6" w:name="O_1031386"/>
      <w:bookmarkEnd w:id="6"/>
      <w:r w:rsidRPr="00356F7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56F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F77" w:rsidP="00356F77">
            <w:pPr>
              <w:pStyle w:val="BodyText"/>
            </w:pPr>
            <w:r w:rsidRPr="00356F7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F77">
            <w:pPr>
              <w:pStyle w:val="BodyText"/>
              <w:rPr>
                <w:lang w:val="en-NZ"/>
              </w:rPr>
            </w:pPr>
            <w:r w:rsidRPr="00356F77">
              <w:rPr>
                <w:rStyle w:val="SpecialBold"/>
              </w:rPr>
              <w:t>PERFORMANCE CRITERIA</w:t>
            </w:r>
          </w:p>
        </w:tc>
      </w:tr>
      <w:tr w:rsidTr="00356F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F77">
            <w:pPr>
              <w:pStyle w:val="BodyText"/>
              <w:rPr>
                <w:lang w:val="en-NZ"/>
              </w:rPr>
            </w:pPr>
            <w:r w:rsidRPr="00356F7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F77">
            <w:pPr>
              <w:pStyle w:val="BodyText"/>
              <w:rPr>
                <w:lang w:val="en-NZ"/>
              </w:rPr>
            </w:pPr>
            <w:r w:rsidRPr="00356F77">
              <w:t>Performance criteria describe the performance needed to demonstrate achievement of the element.</w:t>
            </w:r>
          </w:p>
        </w:tc>
      </w:tr>
      <w:tr w:rsidTr="00356F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F77" w:rsidP="00356F77">
            <w:pPr>
              <w:pStyle w:val="BodyText"/>
            </w:pPr>
            <w:r w:rsidRPr="00356F77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F77" w:rsidP="00356F77">
            <w:pPr>
              <w:pStyle w:val="BodyText"/>
            </w:pPr>
            <w:r w:rsidRPr="00356F77">
              <w:rPr>
                <w:rStyle w:val="SpecialBold"/>
              </w:rPr>
              <w:t>Undertake a health and safety site review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F77">
            <w:pPr>
              <w:pStyle w:val="BodyText"/>
              <w:rPr>
                <w:lang w:val="en-NZ"/>
              </w:rPr>
            </w:pPr>
            <w:r w:rsidRPr="00356F7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F77">
            <w:pPr>
              <w:pStyle w:val="BodyText"/>
              <w:rPr>
                <w:lang w:val="en-NZ"/>
              </w:rPr>
            </w:pPr>
            <w:r w:rsidRPr="00356F77">
              <w:t xml:space="preserve">Identify and communicate potential oil spill hazards and risks </w:t>
            </w:r>
          </w:p>
        </w:tc>
      </w:tr>
      <w:tr w:rsidTr="00356F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F7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F77">
            <w:pPr>
              <w:pStyle w:val="BodyText"/>
              <w:rPr>
                <w:lang w:val="en-NZ"/>
              </w:rPr>
            </w:pPr>
            <w:r w:rsidRPr="00356F7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F77">
            <w:pPr>
              <w:pStyle w:val="BodyText"/>
              <w:rPr>
                <w:lang w:val="en-NZ"/>
              </w:rPr>
            </w:pPr>
            <w:r w:rsidRPr="00356F77">
              <w:t>Report hazards and risks, in accordanc</w:t>
            </w:r>
            <w:r w:rsidRPr="00356F77">
              <w:t xml:space="preserve">e with </w:t>
            </w:r>
            <w:r w:rsidRPr="00356F77">
              <w:t>organisational procedures</w:t>
            </w:r>
          </w:p>
        </w:tc>
      </w:tr>
      <w:tr w:rsidTr="00356F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F7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F77">
            <w:pPr>
              <w:pStyle w:val="BodyText"/>
              <w:rPr>
                <w:lang w:val="en-NZ"/>
              </w:rPr>
            </w:pPr>
            <w:r w:rsidRPr="00356F7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F77">
            <w:pPr>
              <w:pStyle w:val="BodyText"/>
              <w:rPr>
                <w:lang w:val="en-NZ"/>
              </w:rPr>
            </w:pPr>
            <w:r w:rsidRPr="00356F77">
              <w:t>Select and use personal protective clothing and equipment, in accordance with Work, Health and Safety (WHS)/Occupational Health and Safety (OHS) guidelines and Safety Data Sheet (SDS) requirements</w:t>
            </w:r>
          </w:p>
        </w:tc>
      </w:tr>
      <w:tr w:rsidTr="00356F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F77" w:rsidP="00356F77">
            <w:pPr>
              <w:pStyle w:val="BodyText"/>
            </w:pPr>
            <w:r w:rsidRPr="00356F77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F77" w:rsidP="00356F77">
            <w:pPr>
              <w:pStyle w:val="BodyText"/>
            </w:pPr>
            <w:r w:rsidRPr="00356F77">
              <w:rPr>
                <w:rStyle w:val="SpecialBold"/>
              </w:rPr>
              <w:t>Prepare Level 1 equipment for use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F77">
            <w:pPr>
              <w:pStyle w:val="BodyText"/>
              <w:rPr>
                <w:lang w:val="en-NZ"/>
              </w:rPr>
            </w:pPr>
            <w:r w:rsidRPr="00356F7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F77">
            <w:pPr>
              <w:pStyle w:val="BodyText"/>
              <w:rPr>
                <w:lang w:val="en-NZ"/>
              </w:rPr>
            </w:pPr>
            <w:r w:rsidRPr="00356F77">
              <w:t>Use the incident action plan and/or site specific deployment plan to identify and select oil spill response equipment, in accordance with organisational requirements and supervisor’s instructions</w:t>
            </w:r>
          </w:p>
        </w:tc>
      </w:tr>
      <w:tr w:rsidTr="00356F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F7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F77">
            <w:pPr>
              <w:pStyle w:val="BodyText"/>
              <w:rPr>
                <w:lang w:val="en-NZ"/>
              </w:rPr>
            </w:pPr>
            <w:r w:rsidRPr="00356F7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F77">
            <w:pPr>
              <w:pStyle w:val="BodyText"/>
              <w:rPr>
                <w:lang w:val="en-NZ"/>
              </w:rPr>
            </w:pPr>
            <w:r w:rsidRPr="00356F77">
              <w:t>Use organisatio</w:t>
            </w:r>
            <w:r w:rsidRPr="00356F77">
              <w:t>nal procedures and manufacturers</w:t>
            </w:r>
            <w:r>
              <w:t>’</w:t>
            </w:r>
            <w:r w:rsidRPr="00356F77">
              <w:t xml:space="preserve"> specifications, in the management of routine preoperational checks of equipment </w:t>
            </w:r>
          </w:p>
        </w:tc>
      </w:tr>
      <w:tr w:rsidTr="00356F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F7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F77">
            <w:pPr>
              <w:pStyle w:val="BodyText"/>
              <w:rPr>
                <w:lang w:val="en-NZ"/>
              </w:rPr>
            </w:pPr>
            <w:r w:rsidRPr="00356F7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F77">
            <w:pPr>
              <w:pStyle w:val="BodyText"/>
              <w:rPr>
                <w:lang w:val="en-NZ"/>
              </w:rPr>
            </w:pPr>
            <w:r w:rsidRPr="00356F77">
              <w:t>Report unsafe or faulty equipment, in accordance with organisational procedures, and set aside for repair and/or replacement</w:t>
            </w:r>
          </w:p>
        </w:tc>
      </w:tr>
      <w:tr w:rsidTr="00356F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F77" w:rsidP="00356F77">
            <w:pPr>
              <w:pStyle w:val="BodyText"/>
            </w:pPr>
            <w:r w:rsidRPr="00356F77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F77" w:rsidP="00356F77">
            <w:pPr>
              <w:pStyle w:val="BodyText"/>
            </w:pPr>
            <w:r w:rsidRPr="00356F77">
              <w:rPr>
                <w:rStyle w:val="SpecialBold"/>
              </w:rPr>
              <w:t>Operat</w:t>
            </w:r>
            <w:r w:rsidRPr="00356F77">
              <w:rPr>
                <w:rStyle w:val="SpecialBold"/>
              </w:rPr>
              <w:t>e and/or deploy Level 1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F77">
            <w:pPr>
              <w:pStyle w:val="BodyText"/>
              <w:rPr>
                <w:lang w:val="en-NZ"/>
              </w:rPr>
            </w:pPr>
            <w:r w:rsidRPr="00356F7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F77">
            <w:pPr>
              <w:pStyle w:val="BodyText"/>
              <w:rPr>
                <w:lang w:val="en-NZ"/>
              </w:rPr>
            </w:pPr>
            <w:r w:rsidRPr="00356F77">
              <w:t>Operate and maintain equipment, in accordance with organisational procedures and manufacturers</w:t>
            </w:r>
            <w:r>
              <w:t>’</w:t>
            </w:r>
            <w:r w:rsidRPr="00356F77">
              <w:t xml:space="preserve"> specifications </w:t>
            </w:r>
          </w:p>
        </w:tc>
      </w:tr>
      <w:tr w:rsidTr="00356F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F7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F77">
            <w:pPr>
              <w:pStyle w:val="BodyText"/>
              <w:rPr>
                <w:lang w:val="en-NZ"/>
              </w:rPr>
            </w:pPr>
            <w:r w:rsidRPr="00356F7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F77">
            <w:pPr>
              <w:pStyle w:val="BodyText"/>
              <w:rPr>
                <w:lang w:val="en-NZ"/>
              </w:rPr>
            </w:pPr>
            <w:r w:rsidRPr="00356F77">
              <w:t>Complete work tasks, in</w:t>
            </w:r>
            <w:r w:rsidRPr="00356F77">
              <w:t xml:space="preserve"> accordance with organisational procedures, WHS/OHS requirements and the incident action plan</w:t>
            </w:r>
          </w:p>
        </w:tc>
      </w:tr>
      <w:tr w:rsidTr="00356F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F7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F77">
            <w:pPr>
              <w:pStyle w:val="BodyText"/>
              <w:rPr>
                <w:lang w:val="en-NZ"/>
              </w:rPr>
            </w:pPr>
            <w:r w:rsidRPr="00356F7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F77">
            <w:pPr>
              <w:pStyle w:val="BodyText"/>
              <w:rPr>
                <w:lang w:val="en-NZ"/>
              </w:rPr>
            </w:pPr>
            <w:r w:rsidRPr="00356F77">
              <w:t>Identify, action and monitor environmental implications associated with oil spill response and maintenance of equipment</w:t>
            </w:r>
          </w:p>
        </w:tc>
      </w:tr>
      <w:tr w:rsidTr="00356F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F7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F77">
            <w:pPr>
              <w:pStyle w:val="BodyText"/>
              <w:rPr>
                <w:lang w:val="en-NZ"/>
              </w:rPr>
            </w:pPr>
            <w:r w:rsidRPr="00356F77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F77">
            <w:pPr>
              <w:pStyle w:val="BodyText"/>
              <w:rPr>
                <w:lang w:val="en-NZ"/>
              </w:rPr>
            </w:pPr>
            <w:r w:rsidRPr="00356F77">
              <w:t xml:space="preserve">Monitor oil spill environmental conditions, in conjunction with operational activities </w:t>
            </w:r>
          </w:p>
        </w:tc>
      </w:tr>
      <w:tr w:rsidTr="00356F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F77" w:rsidP="00356F77">
            <w:pPr>
              <w:pStyle w:val="BodyText"/>
            </w:pPr>
            <w:r w:rsidRPr="00356F77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F77" w:rsidP="00356F77">
            <w:pPr>
              <w:pStyle w:val="BodyText"/>
            </w:pPr>
            <w:r w:rsidRPr="00356F77">
              <w:rPr>
                <w:rStyle w:val="SpecialBold"/>
              </w:rPr>
              <w:t>Check, clean and store Level 1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F77">
            <w:pPr>
              <w:pStyle w:val="BodyText"/>
              <w:rPr>
                <w:lang w:val="en-NZ"/>
              </w:rPr>
            </w:pPr>
            <w:r w:rsidRPr="00356F77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F77">
            <w:pPr>
              <w:pStyle w:val="BodyText"/>
              <w:rPr>
                <w:lang w:val="en-NZ"/>
              </w:rPr>
            </w:pPr>
            <w:r w:rsidRPr="00356F77">
              <w:t>Report equipment use, in accordance with organisational procedures, site specific deployment plan and incident action pl</w:t>
            </w:r>
            <w:r w:rsidRPr="00356F77">
              <w:t>an requirements</w:t>
            </w:r>
          </w:p>
        </w:tc>
      </w:tr>
      <w:tr w:rsidTr="00356F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F7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F77">
            <w:pPr>
              <w:pStyle w:val="BodyText"/>
              <w:rPr>
                <w:lang w:val="en-NZ"/>
              </w:rPr>
            </w:pPr>
            <w:r w:rsidRPr="00356F77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F77">
            <w:pPr>
              <w:pStyle w:val="BodyText"/>
              <w:rPr>
                <w:lang w:val="en-NZ"/>
              </w:rPr>
            </w:pPr>
            <w:r w:rsidRPr="00356F77">
              <w:t>Clean, secure and store equipment, including personal protective clothing and equipment, in accordance with organisational procedures, manufacturers</w:t>
            </w:r>
            <w:r>
              <w:t>’</w:t>
            </w:r>
            <w:r w:rsidRPr="00356F77">
              <w:t xml:space="preserve"> specifications and maintenance manuals  </w:t>
            </w:r>
          </w:p>
        </w:tc>
      </w:tr>
      <w:tr w:rsidTr="00356F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F7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F77">
            <w:pPr>
              <w:pStyle w:val="BodyText"/>
              <w:rPr>
                <w:lang w:val="en-NZ"/>
              </w:rPr>
            </w:pPr>
            <w:r w:rsidRPr="00356F77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F77">
            <w:pPr>
              <w:pStyle w:val="BodyText"/>
              <w:rPr>
                <w:lang w:val="en-NZ"/>
              </w:rPr>
            </w:pPr>
            <w:r w:rsidRPr="00356F77">
              <w:t>Report equipment faults or damage to supervisor, in accordance with organisational procedures</w:t>
            </w:r>
          </w:p>
        </w:tc>
      </w:tr>
      <w:tr w:rsidTr="00356F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F7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F77">
            <w:pPr>
              <w:pStyle w:val="BodyText"/>
              <w:rPr>
                <w:lang w:val="en-NZ"/>
              </w:rPr>
            </w:pPr>
            <w:r w:rsidRPr="00356F77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F77" w:rsidP="00356F77">
            <w:pPr>
              <w:pStyle w:val="BodyText"/>
            </w:pPr>
            <w:r w:rsidRPr="00356F77">
              <w:t>Maintain and clean workplace, in accordance with organisational procedures and WHS/ OHS guidelines</w:t>
            </w:r>
          </w:p>
        </w:tc>
      </w:tr>
    </w:tbl>
    <w:p w:rsidR="00000000" w:rsidRPr="00356F77" w:rsidP="00356F77">
      <w:pPr>
        <w:pStyle w:val="NoPaddingFontSize1"/>
      </w:pPr>
    </w:p>
    <w:p w:rsidR="00000000" w:rsidRPr="00356F77" w:rsidP="00356F77">
      <w:pPr>
        <w:pStyle w:val="AllowPageBreak"/>
      </w:pPr>
    </w:p>
    <w:p w:rsidR="00000000" w:rsidRPr="00356F77" w:rsidP="00356F77">
      <w:pPr>
        <w:pStyle w:val="Heading1"/>
      </w:pPr>
      <w:bookmarkStart w:id="7" w:name="O_1031387"/>
      <w:bookmarkEnd w:id="7"/>
      <w:r w:rsidRPr="00356F7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6F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F77" w:rsidP="00356F77">
            <w:pPr>
              <w:pStyle w:val="BodyText"/>
            </w:pPr>
            <w:r w:rsidRPr="00356F77">
              <w:t>Foundation skills</w:t>
            </w:r>
            <w:r w:rsidRPr="00356F77">
              <w:t xml:space="preserve"> essential to performance are explicit in the performance criteria of this unit of competency.</w:t>
            </w:r>
          </w:p>
        </w:tc>
      </w:tr>
    </w:tbl>
    <w:p w:rsidR="00000000" w:rsidRPr="00356F77" w:rsidP="00356F77">
      <w:pPr>
        <w:pStyle w:val="NoPaddingFontSize1"/>
      </w:pPr>
    </w:p>
    <w:p w:rsidR="00000000" w:rsidRPr="00356F77" w:rsidP="00356F77">
      <w:pPr>
        <w:pStyle w:val="AllowPageBreak"/>
      </w:pPr>
    </w:p>
    <w:p w:rsidR="00000000" w:rsidRPr="00356F77" w:rsidP="00356F77">
      <w:pPr>
        <w:pStyle w:val="Heading1"/>
      </w:pPr>
      <w:bookmarkStart w:id="8" w:name="O_1031388"/>
      <w:bookmarkEnd w:id="8"/>
      <w:r w:rsidRPr="00356F7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6F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F77" w:rsidP="00356F77">
            <w:pPr>
              <w:pStyle w:val="BodyText"/>
            </w:pPr>
            <w:r w:rsidRPr="00356F77">
              <w:t>Range is restricted to essential operating conditions and any other variables essential to the work environment.</w:t>
            </w:r>
          </w:p>
          <w:p w:rsidR="00000000" w:rsidRPr="00356F77" w:rsidP="00356F77">
            <w:pPr>
              <w:pStyle w:val="BodyText"/>
            </w:pPr>
            <w:r w:rsidRPr="00356F77">
              <w:t>Non-essential conditions may be found in the Companion Volume Implementation Guide.</w:t>
            </w:r>
          </w:p>
        </w:tc>
      </w:tr>
    </w:tbl>
    <w:p w:rsidR="00000000" w:rsidRPr="00356F77" w:rsidP="00356F77">
      <w:pPr>
        <w:pStyle w:val="NoPaddingFontSize1"/>
      </w:pPr>
    </w:p>
    <w:p w:rsidR="00000000" w:rsidRPr="00356F77" w:rsidP="00356F77">
      <w:pPr>
        <w:pStyle w:val="AllowPageBreak"/>
      </w:pPr>
    </w:p>
    <w:p w:rsidR="00000000" w:rsidRPr="00356F77" w:rsidP="00356F77">
      <w:pPr>
        <w:pStyle w:val="Heading1"/>
      </w:pPr>
      <w:bookmarkStart w:id="9" w:name="O_1031389"/>
      <w:bookmarkEnd w:id="9"/>
      <w:r w:rsidRPr="00356F7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6F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F77" w:rsidP="00356F77">
            <w:pPr>
              <w:pStyle w:val="BodyText"/>
            </w:pPr>
            <w:r w:rsidRPr="00356F77">
              <w:t>This unit replaces and is equivalent to PUAOIL201 Use basic equipment operations for oil spill response.</w:t>
            </w:r>
          </w:p>
        </w:tc>
      </w:tr>
    </w:tbl>
    <w:p w:rsidR="00000000" w:rsidRPr="00356F77" w:rsidP="00356F77">
      <w:pPr>
        <w:pStyle w:val="NoPaddingFontSize1"/>
      </w:pPr>
    </w:p>
    <w:p w:rsidR="00000000" w:rsidRPr="00356F77" w:rsidP="00356F77">
      <w:pPr>
        <w:pStyle w:val="AllowPageBreak"/>
      </w:pPr>
    </w:p>
    <w:p w:rsidR="00000000" w:rsidRPr="00356F77" w:rsidP="00356F77">
      <w:pPr>
        <w:pStyle w:val="Heading1"/>
      </w:pPr>
      <w:bookmarkStart w:id="10" w:name="O_1031396"/>
      <w:bookmarkEnd w:id="10"/>
      <w:r w:rsidRPr="00356F77">
        <w:t>Links</w:t>
      </w:r>
    </w:p>
    <w:p w:rsidR="00000000" w:rsidRPr="00356F77" w:rsidP="00B36F11">
      <w:pPr>
        <w:pStyle w:val="BodyText"/>
      </w:pPr>
      <w:r w:rsidRPr="00356F77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30482C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356F77" w:rsidP="00356F77"/>
    <w:sectPr w:rsidSect="00356F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F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F77" w:rsidRPr="00B36F11" w:rsidP="00B36F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F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F11" w:rsidP="00356F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6F11" w:rsidP="00356F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36F11" w:rsidP="00356F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F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F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6F77" w:rsidRPr="00B36F11" w:rsidP="00B36F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F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F11" w:rsidRPr="002D2AF8" w:rsidP="00356F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PUAOIL202 Use basic equipment operations for oil spill response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36F11" w:rsidP="00356F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6F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6F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6F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6F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6F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6F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6F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6F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6F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6F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6F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6F77"/>
  </w:style>
  <w:style w:type="character" w:customStyle="1" w:styleId="Heading1Char">
    <w:name w:val="Heading 1 Char"/>
    <w:basedOn w:val="DefaultParagraphFont"/>
    <w:link w:val="Heading1"/>
    <w:rsid w:val="00356F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6F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6F7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56F77"/>
    <w:rPr>
      <w:b/>
      <w:spacing w:val="0"/>
    </w:rPr>
  </w:style>
  <w:style w:type="paragraph" w:customStyle="1" w:styleId="SuperHeading">
    <w:name w:val="SuperHeading"/>
    <w:basedOn w:val="Normal"/>
    <w:rsid w:val="00356F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6F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56F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6F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6F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6F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6F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6F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6F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6F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6F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6F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6F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6F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6F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6F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6F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6F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6F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6F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6F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56F7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56F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6F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6F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6F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6F7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6F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6F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6F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6F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6F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6F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6F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6F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6F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6F77"/>
    <w:rPr>
      <w:i/>
    </w:rPr>
  </w:style>
  <w:style w:type="paragraph" w:styleId="Caption">
    <w:name w:val="caption"/>
    <w:basedOn w:val="BodyText"/>
    <w:next w:val="Normal"/>
    <w:qFormat/>
    <w:rsid w:val="00356F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6F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6F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6F77"/>
  </w:style>
  <w:style w:type="paragraph" w:styleId="TableofFigures">
    <w:name w:val="table of figures"/>
    <w:basedOn w:val="Normal"/>
    <w:next w:val="Normal"/>
    <w:semiHidden/>
    <w:rsid w:val="00356F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6F7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56F77"/>
    <w:rPr>
      <w:rFonts w:ascii="Wingdings" w:hAnsi="Wingdings"/>
    </w:rPr>
  </w:style>
  <w:style w:type="paragraph" w:customStyle="1" w:styleId="TableHeading">
    <w:name w:val="Table Heading"/>
    <w:basedOn w:val="HeadingBase"/>
    <w:rsid w:val="00356F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6F77"/>
    <w:rPr>
      <w:color w:val="0033CC"/>
      <w:u w:val="none"/>
    </w:rPr>
  </w:style>
  <w:style w:type="paragraph" w:customStyle="1" w:styleId="BodyTextRight">
    <w:name w:val="Body Text Right"/>
    <w:basedOn w:val="BodyText"/>
    <w:rsid w:val="00356F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6F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6F7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6F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6F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6F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6F77"/>
    <w:rPr>
      <w:sz w:val="32"/>
    </w:rPr>
  </w:style>
  <w:style w:type="paragraph" w:customStyle="1" w:styleId="HeadingProcedure">
    <w:name w:val="Heading Procedure"/>
    <w:basedOn w:val="HeadingBase"/>
    <w:next w:val="Normal"/>
    <w:rsid w:val="00356F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6F77"/>
    <w:pPr>
      <w:spacing w:before="60" w:after="60"/>
    </w:pPr>
  </w:style>
  <w:style w:type="paragraph" w:styleId="ListContinue">
    <w:name w:val="List Continue"/>
    <w:basedOn w:val="List"/>
    <w:rsid w:val="00356F77"/>
    <w:pPr>
      <w:ind w:firstLine="0"/>
    </w:pPr>
  </w:style>
  <w:style w:type="paragraph" w:customStyle="1" w:styleId="ListNote">
    <w:name w:val="List Note"/>
    <w:basedOn w:val="List"/>
    <w:rsid w:val="00356F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6F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6F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6F77"/>
    <w:rPr>
      <w:rFonts w:ascii="Courier New" w:hAnsi="Courier New"/>
    </w:rPr>
  </w:style>
  <w:style w:type="paragraph" w:customStyle="1" w:styleId="NoteBullet">
    <w:name w:val="Note Bullet"/>
    <w:basedOn w:val="Note"/>
    <w:rsid w:val="00356F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6F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6F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6F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6F7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56F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6F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6F77"/>
    <w:rPr>
      <w:b/>
      <w:smallCaps/>
    </w:rPr>
  </w:style>
  <w:style w:type="paragraph" w:customStyle="1" w:styleId="TableListNumber">
    <w:name w:val="Table List Number"/>
    <w:basedOn w:val="ListNumber"/>
    <w:rsid w:val="00356F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6F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6F77"/>
    <w:pPr>
      <w:numPr>
        <w:numId w:val="7"/>
      </w:numPr>
    </w:pPr>
  </w:style>
  <w:style w:type="paragraph" w:customStyle="1" w:styleId="ListAlpha2">
    <w:name w:val="List Alpha 2"/>
    <w:basedOn w:val="List2"/>
    <w:rsid w:val="00356F77"/>
    <w:pPr>
      <w:numPr>
        <w:numId w:val="6"/>
      </w:numPr>
    </w:pPr>
  </w:style>
  <w:style w:type="paragraph" w:styleId="List2">
    <w:name w:val="List 2"/>
    <w:basedOn w:val="BodyText"/>
    <w:rsid w:val="00356F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6F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6F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6F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6F7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6F7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56F77"/>
    <w:pPr>
      <w:numPr>
        <w:numId w:val="2"/>
      </w:numPr>
    </w:pPr>
  </w:style>
  <w:style w:type="paragraph" w:styleId="ListContinue2">
    <w:name w:val="List Continue 2"/>
    <w:basedOn w:val="List2"/>
    <w:rsid w:val="00356F77"/>
    <w:pPr>
      <w:ind w:firstLine="0"/>
    </w:pPr>
  </w:style>
  <w:style w:type="paragraph" w:styleId="ListContinue3">
    <w:name w:val="List Continue 3"/>
    <w:basedOn w:val="List3"/>
    <w:rsid w:val="00356F77"/>
    <w:pPr>
      <w:ind w:left="1021" w:firstLine="0"/>
    </w:pPr>
  </w:style>
  <w:style w:type="paragraph" w:styleId="ListContinue4">
    <w:name w:val="List Continue 4"/>
    <w:basedOn w:val="List4"/>
    <w:rsid w:val="00356F77"/>
    <w:pPr>
      <w:ind w:firstLine="0"/>
    </w:pPr>
  </w:style>
  <w:style w:type="paragraph" w:styleId="ListContinue5">
    <w:name w:val="List Continue 5"/>
    <w:basedOn w:val="List5"/>
    <w:rsid w:val="00356F77"/>
    <w:pPr>
      <w:ind w:firstLine="0"/>
    </w:pPr>
  </w:style>
  <w:style w:type="paragraph" w:styleId="ListNumber3">
    <w:name w:val="List Number 3"/>
    <w:basedOn w:val="List3"/>
    <w:rsid w:val="00356F77"/>
    <w:pPr>
      <w:numPr>
        <w:numId w:val="3"/>
      </w:numPr>
    </w:pPr>
  </w:style>
  <w:style w:type="paragraph" w:styleId="ListNumber4">
    <w:name w:val="List Number 4"/>
    <w:basedOn w:val="List4"/>
    <w:rsid w:val="00356F77"/>
    <w:pPr>
      <w:numPr>
        <w:numId w:val="4"/>
      </w:numPr>
    </w:pPr>
  </w:style>
  <w:style w:type="paragraph" w:styleId="ListNumber5">
    <w:name w:val="List Number 5"/>
    <w:basedOn w:val="List5"/>
    <w:rsid w:val="00356F77"/>
    <w:pPr>
      <w:numPr>
        <w:numId w:val="5"/>
      </w:numPr>
    </w:pPr>
  </w:style>
  <w:style w:type="paragraph" w:styleId="BlockText">
    <w:name w:val="Block Text"/>
    <w:basedOn w:val="Normal"/>
    <w:rsid w:val="00356F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6F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6F77"/>
    <w:rPr>
      <w:sz w:val="16"/>
      <w:vertAlign w:val="superscript"/>
    </w:rPr>
  </w:style>
  <w:style w:type="character" w:customStyle="1" w:styleId="Symbols">
    <w:name w:val="Symbols"/>
    <w:basedOn w:val="DefaultParagraphFont"/>
    <w:rsid w:val="00356F77"/>
    <w:rPr>
      <w:rFonts w:ascii="Symbol" w:hAnsi="Symbol"/>
    </w:rPr>
  </w:style>
  <w:style w:type="character" w:customStyle="1" w:styleId="MenuOptions">
    <w:name w:val="Menu Options"/>
    <w:basedOn w:val="DefaultParagraphFont"/>
    <w:rsid w:val="00356F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6F77"/>
    <w:rPr>
      <w:b/>
    </w:rPr>
  </w:style>
  <w:style w:type="character" w:customStyle="1" w:styleId="Underlined">
    <w:name w:val="Underlined"/>
    <w:basedOn w:val="DefaultParagraphFont"/>
    <w:rsid w:val="00356F77"/>
    <w:rPr>
      <w:u w:val="single"/>
    </w:rPr>
  </w:style>
  <w:style w:type="paragraph" w:customStyle="1" w:styleId="TableBodyTextRight">
    <w:name w:val="Table Body Text Right"/>
    <w:basedOn w:val="TableBodyText"/>
    <w:rsid w:val="00356F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6F77"/>
    <w:rPr>
      <w:sz w:val="18"/>
    </w:rPr>
  </w:style>
  <w:style w:type="paragraph" w:customStyle="1" w:styleId="BodySmallRight">
    <w:name w:val="Body Small Right"/>
    <w:basedOn w:val="BodyTextRight"/>
    <w:rsid w:val="00356F77"/>
    <w:rPr>
      <w:sz w:val="18"/>
      <w:szCs w:val="18"/>
    </w:rPr>
  </w:style>
  <w:style w:type="paragraph" w:customStyle="1" w:styleId="MarginEdition">
    <w:name w:val="Margin Edition"/>
    <w:basedOn w:val="MarginNote"/>
    <w:rsid w:val="00356F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6F77"/>
    <w:rPr>
      <w:sz w:val="2"/>
      <w:szCs w:val="2"/>
    </w:rPr>
  </w:style>
  <w:style w:type="character" w:customStyle="1" w:styleId="Small">
    <w:name w:val="Small"/>
    <w:basedOn w:val="DefaultParagraphFont"/>
    <w:rsid w:val="00356F77"/>
    <w:rPr>
      <w:sz w:val="16"/>
    </w:rPr>
  </w:style>
  <w:style w:type="paragraph" w:customStyle="1" w:styleId="WideTable">
    <w:name w:val="Wide Table"/>
    <w:basedOn w:val="Normal"/>
    <w:rsid w:val="00356F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6F77"/>
  </w:style>
  <w:style w:type="paragraph" w:styleId="Quote">
    <w:name w:val="Quote"/>
    <w:basedOn w:val="Heading1"/>
    <w:link w:val="QuoteChar"/>
    <w:qFormat/>
    <w:rsid w:val="00356F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6F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6F77"/>
    <w:pPr>
      <w:pageBreakBefore/>
    </w:pPr>
  </w:style>
  <w:style w:type="paragraph" w:customStyle="1" w:styleId="Border">
    <w:name w:val="Border"/>
    <w:basedOn w:val="Normal"/>
    <w:qFormat/>
    <w:rsid w:val="00356F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6F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6F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6F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6F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6F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6F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6F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6F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6F77"/>
    <w:rPr>
      <w:u w:val="single"/>
    </w:rPr>
  </w:style>
  <w:style w:type="character" w:customStyle="1" w:styleId="BoldandItalics">
    <w:name w:val="Bold and Italics"/>
    <w:qFormat/>
    <w:rsid w:val="00356F77"/>
    <w:rPr>
      <w:b/>
      <w:i/>
      <w:u w:val="none"/>
    </w:rPr>
  </w:style>
  <w:style w:type="paragraph" w:styleId="BalloonText">
    <w:name w:val="Balloon Text"/>
    <w:basedOn w:val="Normal"/>
    <w:link w:val="BalloonTextChar"/>
    <w:rsid w:val="00356F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6F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6F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6F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6F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6F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6F77"/>
    <w:pPr>
      <w:spacing w:before="0" w:after="0"/>
    </w:pPr>
  </w:style>
  <w:style w:type="paragraph" w:customStyle="1" w:styleId="BodyTextBold">
    <w:name w:val="Body Text Bold"/>
    <w:basedOn w:val="BodyText"/>
    <w:qFormat/>
    <w:rsid w:val="00356F77"/>
    <w:rPr>
      <w:b/>
    </w:rPr>
  </w:style>
  <w:style w:type="character" w:styleId="Hyperlink">
    <w:name w:val="Hyperlink"/>
    <w:basedOn w:val="DefaultParagraphFont"/>
    <w:uiPriority w:val="99"/>
    <w:unhideWhenUsed/>
    <w:rsid w:val="00B36F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555</Words>
  <Characters>3513</Characters>
  <Application>Microsoft Office Word</Application>
  <DocSecurity>0</DocSecurity>
  <Lines>159</Lines>
  <Paragraphs>79</Paragraphs>
  <ScaleCrop>false</ScaleCrop>
  <Company>Author-it Software Corporation Ltd.</Company>
  <LinksUpToDate>false</LinksUpToDate>
  <CharactersWithSpaces>3989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PUAOIL202 Use basic equipment operations for oil spill response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2025-02-11T06:25:00Z</dcterms:created>
  <dcterms:modified xsi:type="dcterms:W3CDTF">2025-02-11T06:25:00Z</dcterms:modified>
</cp:coreProperties>
</file>