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7BB" w:rsidP="00CE57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PUAMAN004 Manage procurement</w:t>
      </w:r>
      <w:r>
        <w:fldChar w:fldCharType="end"/>
      </w:r>
    </w:p>
    <w:p w:rsidR="00CE57BB" w:rsidP="00CE57BB">
      <w:pPr>
        <w:pStyle w:val="Version"/>
        <w:sectPr w:rsidSect="00060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8BE" w:rsidP="000608BE">
      <w:pPr>
        <w:pStyle w:val="SuperHeading"/>
      </w:pPr>
      <w:r w:rsidRPr="000608BE">
        <w:t>PUAMAN004 Manage procurement</w:t>
      </w:r>
    </w:p>
    <w:p w:rsidR="00000000" w:rsidRPr="000608BE" w:rsidP="000608BE">
      <w:pPr>
        <w:pStyle w:val="Heading1"/>
      </w:pPr>
      <w:bookmarkStart w:id="1" w:name="O_1031286"/>
      <w:bookmarkEnd w:id="1"/>
      <w:r w:rsidRPr="000608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rPr>
                <w:rStyle w:val="SpecialBold"/>
              </w:rPr>
              <w:t>Release 1.</w:t>
            </w:r>
            <w:r w:rsidRPr="000608BE">
              <w:t xml:space="preserve"> This is the first release of this unit of competency in the Public Safety Training Package.</w:t>
            </w:r>
          </w:p>
        </w:tc>
      </w:tr>
    </w:tbl>
    <w:p w:rsidR="00CE57BB" w:rsidP="000608BE">
      <w:pPr>
        <w:pStyle w:val="NoPaddingFontSize1"/>
      </w:pPr>
    </w:p>
    <w:p w:rsidR="00CE57BB" w:rsidP="000608BE">
      <w:pPr>
        <w:pStyle w:val="NoPaddingFontSize1"/>
      </w:pPr>
    </w:p>
    <w:p w:rsidR="00000000" w:rsidRPr="000608BE" w:rsidP="000608BE">
      <w:pPr>
        <w:pStyle w:val="Heading1"/>
      </w:pPr>
      <w:bookmarkStart w:id="2" w:name="O_1031287"/>
      <w:bookmarkEnd w:id="2"/>
      <w:r w:rsidRPr="000608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t>This unit of competency involves the skills and knowledge required to call for tenders and manage</w:t>
            </w:r>
            <w:r w:rsidRPr="000608BE">
              <w:t xml:space="preserve"> the awarding of contracts.</w:t>
            </w:r>
          </w:p>
          <w:p w:rsidR="00000000" w:rsidRPr="000608BE" w:rsidP="000608BE">
            <w:pPr>
              <w:pStyle w:val="BodyText"/>
            </w:pPr>
            <w:r w:rsidRPr="000608BE">
              <w:t>The unit applies to personnel who have a specific role relating to the calling for and management of tenders and contracts within a public safety organisation, with responsibility for ensuring that the organisation’s legal and r</w:t>
            </w:r>
            <w:r w:rsidRPr="000608BE">
              <w:t>isk management process are applied.</w:t>
            </w:r>
          </w:p>
          <w:p w:rsidR="00000000" w:rsidRPr="000608BE" w:rsidP="000608BE">
            <w:pPr>
              <w:pStyle w:val="BodyText"/>
            </w:pPr>
            <w:r w:rsidRPr="000608BE">
              <w:t>No licensing, legislative or certification requirements apply to this unit at the time of publication.</w:t>
            </w:r>
          </w:p>
        </w:tc>
      </w:tr>
    </w:tbl>
    <w:p w:rsidR="00000000" w:rsidRPr="000608BE" w:rsidP="000608BE">
      <w:pPr>
        <w:pStyle w:val="NoPaddingFontSize1"/>
      </w:pPr>
    </w:p>
    <w:p w:rsidR="00000000" w:rsidRPr="000608BE" w:rsidP="000608BE">
      <w:pPr>
        <w:pStyle w:val="AllowPageBreak"/>
      </w:pPr>
    </w:p>
    <w:p w:rsidR="00000000" w:rsidRPr="000608BE" w:rsidP="000608BE">
      <w:pPr>
        <w:pStyle w:val="Heading1"/>
      </w:pPr>
      <w:bookmarkStart w:id="3" w:name="O_1031288"/>
      <w:bookmarkEnd w:id="3"/>
      <w:r w:rsidRPr="000608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t>The fire sector is those sections of government departments, statutory author</w:t>
            </w:r>
            <w:r w:rsidRPr="000608BE">
              <w:t>ities or organisations that have responsibility under jurisdictional arrangements for the delivery of firefighting and fire management services.</w:t>
            </w:r>
          </w:p>
          <w:p w:rsidR="00000000" w:rsidRPr="000608BE" w:rsidP="000608BE">
            <w:pPr>
              <w:pStyle w:val="BodyText"/>
            </w:pPr>
            <w:r w:rsidRPr="000608BE">
              <w:t>It is essential that the prerequisite units listed below are obtained prior to the issuance of this unit to ind</w:t>
            </w:r>
            <w:r w:rsidRPr="000608BE">
              <w:t>ividuals within the fire sector or the units contributing to the attainment of a fire qualification.</w:t>
            </w:r>
          </w:p>
          <w:p w:rsidR="00000000" w:rsidRPr="000608BE" w:rsidP="000608BE">
            <w:pPr>
              <w:pStyle w:val="BodyText"/>
            </w:pPr>
            <w:r w:rsidRPr="000608BE">
              <w:t xml:space="preserve">PUAMAN002 Administer work group resources </w:t>
            </w:r>
          </w:p>
        </w:tc>
      </w:tr>
    </w:tbl>
    <w:p w:rsidR="00000000" w:rsidRPr="000608BE" w:rsidP="000608BE">
      <w:pPr>
        <w:pStyle w:val="NoPaddingFontSize1"/>
      </w:pPr>
    </w:p>
    <w:p w:rsidR="00000000" w:rsidRPr="000608BE" w:rsidP="000608BE">
      <w:pPr>
        <w:pStyle w:val="AllowPageBreak"/>
      </w:pPr>
    </w:p>
    <w:p w:rsidR="00000000" w:rsidRPr="000608BE" w:rsidP="000608BE">
      <w:pPr>
        <w:pStyle w:val="Heading1"/>
      </w:pPr>
      <w:bookmarkStart w:id="4" w:name="O_1031289"/>
      <w:bookmarkEnd w:id="4"/>
      <w:r w:rsidRPr="000608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t>Management</w:t>
            </w:r>
          </w:p>
        </w:tc>
      </w:tr>
    </w:tbl>
    <w:p w:rsidR="00000000" w:rsidRPr="000608BE" w:rsidP="000608BE">
      <w:pPr>
        <w:pStyle w:val="NoPaddingFontSize1"/>
      </w:pPr>
    </w:p>
    <w:p w:rsidR="00000000" w:rsidRPr="000608BE" w:rsidP="000608BE">
      <w:pPr>
        <w:pStyle w:val="AllowPageBreak"/>
      </w:pPr>
    </w:p>
    <w:p w:rsidR="00000000" w:rsidRPr="000608BE" w:rsidP="000608BE">
      <w:pPr>
        <w:pStyle w:val="Heading1"/>
      </w:pPr>
      <w:bookmarkStart w:id="5" w:name="O_1031290"/>
      <w:bookmarkEnd w:id="5"/>
      <w:r w:rsidRPr="000608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t>Public Safety</w:t>
            </w:r>
          </w:p>
        </w:tc>
      </w:tr>
    </w:tbl>
    <w:p w:rsidR="00000000" w:rsidRPr="000608BE" w:rsidP="000608BE">
      <w:pPr>
        <w:pStyle w:val="NoPaddingFontSize1"/>
      </w:pPr>
    </w:p>
    <w:p w:rsidR="00000000" w:rsidRPr="000608BE" w:rsidP="000608BE">
      <w:pPr>
        <w:pStyle w:val="AllowPageBreak"/>
      </w:pPr>
    </w:p>
    <w:p w:rsidR="00000000" w:rsidRPr="000608BE" w:rsidP="000608BE">
      <w:pPr>
        <w:pStyle w:val="Heading1"/>
      </w:pPr>
      <w:bookmarkStart w:id="6" w:name="O_1031291"/>
      <w:bookmarkEnd w:id="6"/>
      <w:r w:rsidRPr="000608B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PERFORMANCE CRITERIA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Performance criteria describe the performance needed to demonstrate achievement of the element.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rPr>
                <w:rStyle w:val="SpecialBold"/>
              </w:rPr>
              <w:t>Prepare appropriate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Preparation of documentation is managed, in accordance with organisational policies and procedures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 xml:space="preserve">Conditions and specifications for tendering contracts is in accordance with organisational policies and procedures 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Tendering process conforms with organisational tender and/or supply code of practice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Inquiries during the tender process are resolved and all tenderers are advised of any relevant clarifications and/or changes, in accordance with organisational proc</w:t>
            </w:r>
            <w:r w:rsidRPr="000608BE">
              <w:t xml:space="preserve">edures  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rPr>
                <w:rStyle w:val="SpecialBold"/>
              </w:rPr>
              <w:t>Establish the basis of tendering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 xml:space="preserve">The form of tender is determined, in accordance with organisational policies and procedures 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 xml:space="preserve">Expressions of interest are sought through the publication of tender details 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 xml:space="preserve">Expressions of interest are evaluated, and potential tenderers are short listed, in accordance with organisational procurement policy and procedures 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rPr>
                <w:rStyle w:val="SpecialBold"/>
              </w:rPr>
              <w:t>Receive and assess tenders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Documents are received and opened, in accordance with organisational pol</w:t>
            </w:r>
            <w:r w:rsidRPr="000608BE">
              <w:t>icies and procedures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Tenders are checked for compliance with conditions set out in expression of interest details and/or request for offers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 xml:space="preserve">Details of tenders are compared with established evaluation criteria, in accordance with organisational policies and procedures 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Checks are made, in accordance with organisational procedures, to ensure that principles of probity, fairness and commer</w:t>
            </w:r>
            <w:r w:rsidRPr="000608BE">
              <w:t>cial confidentiality are met throughout the tender process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Issues which may require negotiation with applicants are identified and addressed in accordance with organisational procedures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rPr>
                <w:rStyle w:val="SpecialBold"/>
              </w:rPr>
              <w:t>Select successful respondent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 xml:space="preserve">Selection process is based on evaluation criteria 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 xml:space="preserve">Actual or potential conflicts of interests are checked for </w:t>
            </w:r>
            <w:r w:rsidRPr="000608BE">
              <w:t xml:space="preserve">disclosure 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A contractor is selected from the registered contractors</w:t>
            </w:r>
            <w:r>
              <w:t>’</w:t>
            </w:r>
            <w:r w:rsidRPr="000608BE">
              <w:t xml:space="preserve"> panel to assist in the selection process, if required 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Contractor prices and conditions are examined, in accordance with organisational procedures, to determine if their offer is clear, calculable and not open to manipulation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A cost benefit analysis is undertaken to show that the selected tenderer offer</w:t>
            </w:r>
            <w:r w:rsidRPr="000608BE">
              <w:t>s best value for money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rPr>
                <w:rStyle w:val="SpecialBold"/>
              </w:rPr>
              <w:t>Finalise contract details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Letter of acceptance outlining all relevant requirements for signing of documentation and satisfaction of pre-commencement conditions is drafted and forwarded, in accordance with organisational proced</w:t>
            </w:r>
            <w:r w:rsidRPr="000608BE">
              <w:t>ures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Discrepancies and disagreements about proposed tender arrangements are clarified and resolved, in accordance with organisational procedures, prior to entering into a formal agreement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 xml:space="preserve">Contract is executed, in accordance with organisational procedures and legal requirements 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Unsuccessful tenderers are informed of result of tender process and are briefed, if appropriate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Contract documents are prepared, approved and distribut</w:t>
            </w:r>
            <w:r w:rsidRPr="000608BE">
              <w:t xml:space="preserve">ed, in accordance with organisational procedures 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 xml:space="preserve">Fulfilment of any outstanding contract requirements is checked and rectified, in accordance with organisational procedures 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rPr>
                <w:rStyle w:val="SpecialBold"/>
              </w:rPr>
              <w:t>Evaluate performance of</w:t>
            </w:r>
            <w:r w:rsidRPr="000608BE">
              <w:t xml:space="preserve"> </w:t>
            </w:r>
            <w:r w:rsidRPr="000608BE">
              <w:rPr>
                <w:rStyle w:val="SpecialBold"/>
              </w:rPr>
              <w:t xml:space="preserve">  contract on completion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Contract conditions</w:t>
            </w:r>
            <w:r w:rsidRPr="000608BE">
              <w:t xml:space="preserve"> and responsibilities are reviewed with relevant personnel 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t>Contract completion is authorised in writing to confirm services have been performed satisfactorily, in accordance with contract objectives and specifications</w:t>
            </w:r>
          </w:p>
        </w:tc>
      </w:tr>
      <w:tr w:rsidTr="0006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8BE">
            <w:pPr>
              <w:pStyle w:val="BodyText"/>
              <w:rPr>
                <w:lang w:val="en-NZ"/>
              </w:rPr>
            </w:pPr>
            <w:r w:rsidRPr="000608BE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t xml:space="preserve">Contractor performance and/or level of service is evaluated, in accordance with organisational procedures, against agreed benchmarks </w:t>
            </w:r>
          </w:p>
        </w:tc>
      </w:tr>
    </w:tbl>
    <w:p w:rsidR="00000000" w:rsidRPr="000608BE" w:rsidP="000608BE">
      <w:pPr>
        <w:pStyle w:val="NoPaddingFontSize1"/>
      </w:pPr>
    </w:p>
    <w:p w:rsidR="00000000" w:rsidRPr="000608BE" w:rsidP="000608BE">
      <w:pPr>
        <w:pStyle w:val="AllowPageBreak"/>
      </w:pPr>
    </w:p>
    <w:p w:rsidR="00000000" w:rsidRPr="000608BE" w:rsidP="000608BE">
      <w:pPr>
        <w:pStyle w:val="Heading1"/>
      </w:pPr>
      <w:bookmarkStart w:id="7" w:name="O_1031292"/>
      <w:bookmarkEnd w:id="7"/>
      <w:r w:rsidRPr="000608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t>Foundation skills essential to performance are explicit in the performance criteria</w:t>
            </w:r>
            <w:r w:rsidRPr="000608BE">
              <w:t xml:space="preserve"> of this unit of competency.</w:t>
            </w:r>
          </w:p>
        </w:tc>
      </w:tr>
    </w:tbl>
    <w:p w:rsidR="00000000" w:rsidRPr="000608BE" w:rsidP="000608BE">
      <w:pPr>
        <w:pStyle w:val="NoPaddingFontSize1"/>
      </w:pPr>
    </w:p>
    <w:p w:rsidR="00000000" w:rsidRPr="000608BE" w:rsidP="000608BE">
      <w:pPr>
        <w:pStyle w:val="AllowPageBreak"/>
      </w:pPr>
    </w:p>
    <w:p w:rsidR="00000000" w:rsidRPr="000608BE" w:rsidP="000608BE">
      <w:pPr>
        <w:pStyle w:val="Heading1"/>
      </w:pPr>
      <w:bookmarkStart w:id="8" w:name="O_1031293"/>
      <w:bookmarkEnd w:id="8"/>
      <w:r w:rsidRPr="000608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t>Range is restricted to essential operating conditions and any other variables essential to the work environment.</w:t>
            </w:r>
          </w:p>
          <w:p w:rsidR="00000000" w:rsidRPr="000608BE" w:rsidP="000608BE">
            <w:pPr>
              <w:pStyle w:val="BodyText"/>
            </w:pPr>
            <w:r w:rsidRPr="000608BE">
              <w:t>Non-essential conditions may be found in the Companion Volume Implementation Guide.</w:t>
            </w:r>
          </w:p>
        </w:tc>
      </w:tr>
    </w:tbl>
    <w:p w:rsidR="00000000" w:rsidRPr="000608BE" w:rsidP="000608BE">
      <w:pPr>
        <w:pStyle w:val="NoPaddingFontSize1"/>
      </w:pPr>
    </w:p>
    <w:p w:rsidR="00000000" w:rsidRPr="000608BE" w:rsidP="000608BE">
      <w:pPr>
        <w:pStyle w:val="AllowPageBreak"/>
      </w:pPr>
    </w:p>
    <w:p w:rsidR="00000000" w:rsidRPr="000608BE" w:rsidP="000608BE">
      <w:pPr>
        <w:pStyle w:val="Heading1"/>
      </w:pPr>
      <w:bookmarkStart w:id="9" w:name="O_1031294"/>
      <w:bookmarkEnd w:id="9"/>
      <w:r w:rsidRPr="000608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8BE" w:rsidP="000608BE">
            <w:pPr>
              <w:pStyle w:val="BodyText"/>
            </w:pPr>
            <w:r w:rsidRPr="000608BE">
              <w:t>This unit replaces and is equivalent to PUAMAN004B Manage procurement.</w:t>
            </w:r>
          </w:p>
        </w:tc>
      </w:tr>
    </w:tbl>
    <w:p w:rsidR="00000000" w:rsidRPr="000608BE" w:rsidP="000608BE">
      <w:pPr>
        <w:pStyle w:val="NoPaddingFontSize1"/>
      </w:pPr>
    </w:p>
    <w:p w:rsidR="00000000" w:rsidRPr="000608BE" w:rsidP="000608BE">
      <w:pPr>
        <w:pStyle w:val="AllowPageBreak"/>
      </w:pPr>
    </w:p>
    <w:p w:rsidR="00000000" w:rsidRPr="000608BE" w:rsidP="000608BE">
      <w:pPr>
        <w:pStyle w:val="Heading1"/>
      </w:pPr>
      <w:bookmarkStart w:id="10" w:name="O_1031301"/>
      <w:bookmarkEnd w:id="10"/>
      <w:r w:rsidRPr="000608BE">
        <w:t>Links</w:t>
      </w:r>
    </w:p>
    <w:p w:rsidR="00000000" w:rsidRPr="000608BE" w:rsidP="00CE57BB">
      <w:pPr>
        <w:pStyle w:val="BodyText"/>
      </w:pPr>
      <w:r w:rsidRPr="000608BE">
        <w:t>PUA Training Package Compani</w:t>
      </w:r>
      <w:r w:rsidRPr="000608BE">
        <w:t xml:space="preserve">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D40D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608BE" w:rsidP="000608BE"/>
    <w:sectPr w:rsidSect="000608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8BE" w:rsidRPr="00CE57BB" w:rsidP="00CE57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BB" w:rsidP="00060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57BB" w:rsidP="00060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E57BB" w:rsidP="00060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8BE" w:rsidRPr="00CE57BB" w:rsidP="00CE57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BB" w:rsidRPr="002D2AF8" w:rsidP="00060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PUAMAN004 Manage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E57BB" w:rsidP="00060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8BE"/>
  </w:style>
  <w:style w:type="character" w:customStyle="1" w:styleId="Heading1Char">
    <w:name w:val="Heading 1 Char"/>
    <w:basedOn w:val="DefaultParagraphFont"/>
    <w:link w:val="Heading1"/>
    <w:rsid w:val="00060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8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08BE"/>
    <w:rPr>
      <w:b/>
      <w:spacing w:val="0"/>
    </w:rPr>
  </w:style>
  <w:style w:type="paragraph" w:customStyle="1" w:styleId="SuperHeading">
    <w:name w:val="SuperHeading"/>
    <w:basedOn w:val="Normal"/>
    <w:rsid w:val="00060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0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8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08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0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08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0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8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08BE"/>
    <w:rPr>
      <w:i/>
    </w:rPr>
  </w:style>
  <w:style w:type="paragraph" w:styleId="Caption">
    <w:name w:val="caption"/>
    <w:basedOn w:val="BodyText"/>
    <w:next w:val="Normal"/>
    <w:qFormat/>
    <w:rsid w:val="00060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8BE"/>
  </w:style>
  <w:style w:type="paragraph" w:styleId="TableofFigures">
    <w:name w:val="table of figures"/>
    <w:basedOn w:val="Normal"/>
    <w:next w:val="Normal"/>
    <w:semiHidden/>
    <w:rsid w:val="00060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8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08BE"/>
    <w:rPr>
      <w:rFonts w:ascii="Wingdings" w:hAnsi="Wingdings"/>
    </w:rPr>
  </w:style>
  <w:style w:type="paragraph" w:customStyle="1" w:styleId="TableHeading">
    <w:name w:val="Table Heading"/>
    <w:basedOn w:val="HeadingBase"/>
    <w:rsid w:val="00060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8BE"/>
    <w:rPr>
      <w:color w:val="0033CC"/>
      <w:u w:val="none"/>
    </w:rPr>
  </w:style>
  <w:style w:type="paragraph" w:customStyle="1" w:styleId="BodyTextRight">
    <w:name w:val="Body Text Right"/>
    <w:basedOn w:val="BodyText"/>
    <w:rsid w:val="00060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8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8BE"/>
    <w:rPr>
      <w:sz w:val="32"/>
    </w:rPr>
  </w:style>
  <w:style w:type="paragraph" w:customStyle="1" w:styleId="HeadingProcedure">
    <w:name w:val="Heading Procedure"/>
    <w:basedOn w:val="HeadingBase"/>
    <w:next w:val="Normal"/>
    <w:rsid w:val="00060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8BE"/>
    <w:pPr>
      <w:spacing w:before="60" w:after="60"/>
    </w:pPr>
  </w:style>
  <w:style w:type="paragraph" w:styleId="ListContinue">
    <w:name w:val="List Continue"/>
    <w:basedOn w:val="List"/>
    <w:rsid w:val="000608BE"/>
    <w:pPr>
      <w:ind w:firstLine="0"/>
    </w:pPr>
  </w:style>
  <w:style w:type="paragraph" w:customStyle="1" w:styleId="ListNote">
    <w:name w:val="List Note"/>
    <w:basedOn w:val="List"/>
    <w:rsid w:val="00060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8BE"/>
    <w:rPr>
      <w:rFonts w:ascii="Courier New" w:hAnsi="Courier New"/>
    </w:rPr>
  </w:style>
  <w:style w:type="paragraph" w:customStyle="1" w:styleId="NoteBullet">
    <w:name w:val="Note Bullet"/>
    <w:basedOn w:val="Note"/>
    <w:rsid w:val="00060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8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0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8BE"/>
    <w:rPr>
      <w:b/>
      <w:smallCaps/>
    </w:rPr>
  </w:style>
  <w:style w:type="paragraph" w:customStyle="1" w:styleId="TableListNumber">
    <w:name w:val="Table List Number"/>
    <w:basedOn w:val="ListNumber"/>
    <w:rsid w:val="00060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8BE"/>
    <w:pPr>
      <w:numPr>
        <w:numId w:val="7"/>
      </w:numPr>
    </w:pPr>
  </w:style>
  <w:style w:type="paragraph" w:customStyle="1" w:styleId="ListAlpha2">
    <w:name w:val="List Alpha 2"/>
    <w:basedOn w:val="List2"/>
    <w:rsid w:val="000608BE"/>
    <w:pPr>
      <w:numPr>
        <w:numId w:val="6"/>
      </w:numPr>
    </w:pPr>
  </w:style>
  <w:style w:type="paragraph" w:styleId="List2">
    <w:name w:val="List 2"/>
    <w:basedOn w:val="BodyText"/>
    <w:rsid w:val="00060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8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8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08BE"/>
    <w:pPr>
      <w:numPr>
        <w:numId w:val="2"/>
      </w:numPr>
    </w:pPr>
  </w:style>
  <w:style w:type="paragraph" w:styleId="ListContinue2">
    <w:name w:val="List Continue 2"/>
    <w:basedOn w:val="List2"/>
    <w:rsid w:val="000608BE"/>
    <w:pPr>
      <w:ind w:firstLine="0"/>
    </w:pPr>
  </w:style>
  <w:style w:type="paragraph" w:styleId="ListContinue3">
    <w:name w:val="List Continue 3"/>
    <w:basedOn w:val="List3"/>
    <w:rsid w:val="000608BE"/>
    <w:pPr>
      <w:ind w:left="1021" w:firstLine="0"/>
    </w:pPr>
  </w:style>
  <w:style w:type="paragraph" w:styleId="ListContinue4">
    <w:name w:val="List Continue 4"/>
    <w:basedOn w:val="List4"/>
    <w:rsid w:val="000608BE"/>
    <w:pPr>
      <w:ind w:firstLine="0"/>
    </w:pPr>
  </w:style>
  <w:style w:type="paragraph" w:styleId="ListContinue5">
    <w:name w:val="List Continue 5"/>
    <w:basedOn w:val="List5"/>
    <w:rsid w:val="000608BE"/>
    <w:pPr>
      <w:ind w:firstLine="0"/>
    </w:pPr>
  </w:style>
  <w:style w:type="paragraph" w:styleId="ListNumber3">
    <w:name w:val="List Number 3"/>
    <w:basedOn w:val="List3"/>
    <w:rsid w:val="000608BE"/>
    <w:pPr>
      <w:numPr>
        <w:numId w:val="3"/>
      </w:numPr>
    </w:pPr>
  </w:style>
  <w:style w:type="paragraph" w:styleId="ListNumber4">
    <w:name w:val="List Number 4"/>
    <w:basedOn w:val="List4"/>
    <w:rsid w:val="000608BE"/>
    <w:pPr>
      <w:numPr>
        <w:numId w:val="4"/>
      </w:numPr>
    </w:pPr>
  </w:style>
  <w:style w:type="paragraph" w:styleId="ListNumber5">
    <w:name w:val="List Number 5"/>
    <w:basedOn w:val="List5"/>
    <w:rsid w:val="000608BE"/>
    <w:pPr>
      <w:numPr>
        <w:numId w:val="5"/>
      </w:numPr>
    </w:pPr>
  </w:style>
  <w:style w:type="paragraph" w:styleId="BlockText">
    <w:name w:val="Block Text"/>
    <w:basedOn w:val="Normal"/>
    <w:rsid w:val="00060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8BE"/>
    <w:rPr>
      <w:sz w:val="16"/>
      <w:vertAlign w:val="superscript"/>
    </w:rPr>
  </w:style>
  <w:style w:type="character" w:customStyle="1" w:styleId="Symbols">
    <w:name w:val="Symbols"/>
    <w:basedOn w:val="DefaultParagraphFont"/>
    <w:rsid w:val="000608BE"/>
    <w:rPr>
      <w:rFonts w:ascii="Symbol" w:hAnsi="Symbol"/>
    </w:rPr>
  </w:style>
  <w:style w:type="character" w:customStyle="1" w:styleId="MenuOptions">
    <w:name w:val="Menu Options"/>
    <w:basedOn w:val="DefaultParagraphFont"/>
    <w:rsid w:val="00060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8BE"/>
    <w:rPr>
      <w:b/>
    </w:rPr>
  </w:style>
  <w:style w:type="character" w:customStyle="1" w:styleId="Underlined">
    <w:name w:val="Underlined"/>
    <w:basedOn w:val="DefaultParagraphFont"/>
    <w:rsid w:val="000608BE"/>
    <w:rPr>
      <w:u w:val="single"/>
    </w:rPr>
  </w:style>
  <w:style w:type="paragraph" w:customStyle="1" w:styleId="TableBodyTextRight">
    <w:name w:val="Table Body Text Right"/>
    <w:basedOn w:val="TableBodyText"/>
    <w:rsid w:val="00060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8BE"/>
    <w:rPr>
      <w:sz w:val="18"/>
    </w:rPr>
  </w:style>
  <w:style w:type="paragraph" w:customStyle="1" w:styleId="BodySmallRight">
    <w:name w:val="Body Small Right"/>
    <w:basedOn w:val="BodyTextRight"/>
    <w:rsid w:val="000608BE"/>
    <w:rPr>
      <w:sz w:val="18"/>
      <w:szCs w:val="18"/>
    </w:rPr>
  </w:style>
  <w:style w:type="paragraph" w:customStyle="1" w:styleId="MarginEdition">
    <w:name w:val="Margin Edition"/>
    <w:basedOn w:val="MarginNote"/>
    <w:rsid w:val="00060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8BE"/>
    <w:rPr>
      <w:sz w:val="2"/>
      <w:szCs w:val="2"/>
    </w:rPr>
  </w:style>
  <w:style w:type="character" w:customStyle="1" w:styleId="Small">
    <w:name w:val="Small"/>
    <w:basedOn w:val="DefaultParagraphFont"/>
    <w:rsid w:val="000608BE"/>
    <w:rPr>
      <w:sz w:val="16"/>
    </w:rPr>
  </w:style>
  <w:style w:type="paragraph" w:customStyle="1" w:styleId="WideTable">
    <w:name w:val="Wide Table"/>
    <w:basedOn w:val="Normal"/>
    <w:rsid w:val="00060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8BE"/>
  </w:style>
  <w:style w:type="paragraph" w:styleId="Quote">
    <w:name w:val="Quote"/>
    <w:basedOn w:val="Heading1"/>
    <w:link w:val="QuoteChar"/>
    <w:qFormat/>
    <w:rsid w:val="00060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8BE"/>
    <w:pPr>
      <w:pageBreakBefore/>
    </w:pPr>
  </w:style>
  <w:style w:type="paragraph" w:customStyle="1" w:styleId="Border">
    <w:name w:val="Border"/>
    <w:basedOn w:val="Normal"/>
    <w:qFormat/>
    <w:rsid w:val="00060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8BE"/>
    <w:rPr>
      <w:u w:val="single"/>
    </w:rPr>
  </w:style>
  <w:style w:type="character" w:customStyle="1" w:styleId="BoldandItalics">
    <w:name w:val="Bold and Italics"/>
    <w:qFormat/>
    <w:rsid w:val="000608BE"/>
    <w:rPr>
      <w:b/>
      <w:i/>
      <w:u w:val="none"/>
    </w:rPr>
  </w:style>
  <w:style w:type="paragraph" w:styleId="BalloonText">
    <w:name w:val="Balloon Text"/>
    <w:basedOn w:val="Normal"/>
    <w:link w:val="BalloonTextChar"/>
    <w:rsid w:val="00060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8BE"/>
    <w:pPr>
      <w:spacing w:before="0" w:after="0"/>
    </w:pPr>
  </w:style>
  <w:style w:type="paragraph" w:customStyle="1" w:styleId="BodyTextBold">
    <w:name w:val="Body Text Bold"/>
    <w:basedOn w:val="BodyText"/>
    <w:qFormat/>
    <w:rsid w:val="000608BE"/>
    <w:rPr>
      <w:b/>
    </w:rPr>
  </w:style>
  <w:style w:type="character" w:styleId="Hyperlink">
    <w:name w:val="Hyperlink"/>
    <w:basedOn w:val="DefaultParagraphFont"/>
    <w:uiPriority w:val="99"/>
    <w:unhideWhenUsed/>
    <w:rsid w:val="00CE57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4983</Characters>
  <Application>Microsoft Office Word</Application>
  <DocSecurity>0</DocSecurity>
  <Lines>226</Lines>
  <Paragraphs>115</Paragraphs>
  <ScaleCrop>false</ScaleCrop>
  <Company>Author-it Software Corporation Ltd.</Company>
  <LinksUpToDate>false</LinksUpToDate>
  <CharactersWithSpaces>5652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PUAMAN004 Manage procurement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2022-12-16T01:22:00Z</dcterms:created>
  <dcterms:modified xsi:type="dcterms:W3CDTF">2022-12-16T01:22:00Z</dcterms:modified>
</cp:coreProperties>
</file>