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53A8" w:rsidP="004153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PUALAW004 Represent the organisation in a judicial or quasi-judicial setting</w:t>
      </w:r>
      <w:r>
        <w:fldChar w:fldCharType="end"/>
      </w:r>
    </w:p>
    <w:p w:rsidR="004153A8" w:rsidP="004153A8">
      <w:pPr>
        <w:pStyle w:val="Version"/>
        <w:sectPr w:rsidSect="00ED3B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D3B98" w:rsidP="00ED3B98">
      <w:pPr>
        <w:pStyle w:val="SuperHeading"/>
      </w:pPr>
      <w:r w:rsidRPr="00ED3B98">
        <w:t>PUALAW004 Represent the organisation in a judicial or quasi-judicial setting</w:t>
      </w:r>
    </w:p>
    <w:p w:rsidR="00000000" w:rsidRPr="00ED3B98" w:rsidP="00ED3B98">
      <w:pPr>
        <w:pStyle w:val="Heading1"/>
      </w:pPr>
      <w:bookmarkStart w:id="1" w:name="O_1155669"/>
      <w:bookmarkEnd w:id="1"/>
      <w:r w:rsidRPr="00ED3B9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3B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B98" w:rsidP="00ED3B98">
            <w:pPr>
              <w:pStyle w:val="BodyText"/>
            </w:pPr>
            <w:r w:rsidRPr="00ED3B98">
              <w:rPr>
                <w:rStyle w:val="SpecialBold"/>
              </w:rPr>
              <w:t>Release 2.0</w:t>
            </w:r>
            <w:r w:rsidRPr="00ED3B98">
              <w:t xml:space="preserve"> This is the second release of this unit of competency in the PUA Public Safety Training Package.</w:t>
            </w:r>
          </w:p>
          <w:p w:rsidR="00000000" w:rsidRPr="00ED3B98" w:rsidP="00ED3B98">
            <w:pPr>
              <w:pStyle w:val="BodyText"/>
            </w:pPr>
            <w:r w:rsidRPr="00ED3B98">
              <w:t xml:space="preserve">Editorial adjustments and clarification of text in Assessment Conditions. </w:t>
            </w:r>
          </w:p>
          <w:p w:rsidR="00000000" w:rsidRPr="00ED3B98" w:rsidP="00ED3B98">
            <w:pPr>
              <w:pStyle w:val="BodyText"/>
            </w:pPr>
            <w:r w:rsidRPr="00ED3B98">
              <w:rPr>
                <w:rStyle w:val="SpecialBold"/>
              </w:rPr>
              <w:t>Release 1.0</w:t>
            </w:r>
            <w:r w:rsidRPr="00ED3B98">
              <w:t xml:space="preserve"> This is the first release of this unit of competency in the PUA Public Safety Training Package.</w:t>
            </w:r>
          </w:p>
        </w:tc>
      </w:tr>
    </w:tbl>
    <w:p w:rsidR="00000000" w:rsidRPr="00ED3B98" w:rsidP="00ED3B98">
      <w:pPr>
        <w:pStyle w:val="NoPaddingFontSize1"/>
      </w:pPr>
    </w:p>
    <w:p w:rsidR="00000000" w:rsidRPr="00ED3B98" w:rsidP="00ED3B98">
      <w:pPr>
        <w:pStyle w:val="AllowPageBreak"/>
      </w:pPr>
    </w:p>
    <w:p w:rsidR="00000000" w:rsidRPr="00ED3B98" w:rsidP="00ED3B98">
      <w:pPr>
        <w:pStyle w:val="Heading1"/>
      </w:pPr>
      <w:bookmarkStart w:id="2" w:name="O_1155668"/>
      <w:bookmarkEnd w:id="2"/>
      <w:r w:rsidRPr="00ED3B9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3B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B98" w:rsidP="00ED3B98">
            <w:pPr>
              <w:pStyle w:val="BodyText"/>
            </w:pPr>
            <w:r w:rsidRPr="00ED3B98">
              <w:t>This unit involves the skills and knowle</w:t>
            </w:r>
            <w:r w:rsidRPr="00ED3B98">
              <w:t>dge required to prepare evidence, statements and submissions, select and arrange witnesses and brief counsel.</w:t>
            </w:r>
          </w:p>
          <w:p w:rsidR="00000000" w:rsidRPr="00ED3B98" w:rsidP="00ED3B98">
            <w:pPr>
              <w:pStyle w:val="BodyText"/>
            </w:pPr>
            <w:r w:rsidRPr="00ED3B98">
              <w:t>The unit applies to personnel with responsibility for managing organisational response for a judicial or quasi-judicial setting. It is not applica</w:t>
            </w:r>
            <w:r w:rsidRPr="00ED3B98">
              <w:t>ble to personnel with a legal representation role or who are presenting evidence in defence of organisational procedures.</w:t>
            </w:r>
          </w:p>
          <w:p w:rsidR="00000000" w:rsidRPr="00ED3B98" w:rsidP="00ED3B98">
            <w:pPr>
              <w:pStyle w:val="BodyText"/>
            </w:pPr>
            <w:r w:rsidRPr="00ED3B98">
              <w:t>The fire sector is those sections of government departments, statutory authorities or organisations that have responsibility under jur</w:t>
            </w:r>
            <w:r w:rsidRPr="00ED3B98">
              <w:t>isdictional arrangements for the delivery of firefighting and fire management services.</w:t>
            </w:r>
          </w:p>
          <w:p w:rsidR="00000000" w:rsidRPr="00ED3B98" w:rsidP="00ED3B98">
            <w:pPr>
              <w:pStyle w:val="BodyText"/>
            </w:pPr>
            <w:r w:rsidRPr="00ED3B98">
              <w:t>No licensing, legislative or certification requirements apply to this unit at the time of publication.</w:t>
            </w:r>
          </w:p>
        </w:tc>
      </w:tr>
    </w:tbl>
    <w:p w:rsidR="00000000" w:rsidRPr="00ED3B98" w:rsidP="00ED3B98">
      <w:pPr>
        <w:pStyle w:val="NoPaddingFontSize1"/>
      </w:pPr>
    </w:p>
    <w:p w:rsidR="00000000" w:rsidRPr="00ED3B98" w:rsidP="00ED3B98">
      <w:pPr>
        <w:pStyle w:val="AllowPageBreak"/>
      </w:pPr>
    </w:p>
    <w:p w:rsidR="00000000" w:rsidRPr="00ED3B98" w:rsidP="00ED3B98">
      <w:pPr>
        <w:pStyle w:val="Heading1"/>
      </w:pPr>
      <w:bookmarkStart w:id="3" w:name="O_1155667"/>
      <w:bookmarkEnd w:id="3"/>
      <w:r w:rsidRPr="00ED3B9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3B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B98" w:rsidP="00ED3B98">
            <w:pPr>
              <w:pStyle w:val="BodyText"/>
            </w:pPr>
            <w:r w:rsidRPr="00ED3B98">
              <w:t>Not applicable.</w:t>
            </w:r>
          </w:p>
        </w:tc>
      </w:tr>
    </w:tbl>
    <w:p w:rsidR="00000000" w:rsidRPr="00ED3B98" w:rsidP="00ED3B98">
      <w:pPr>
        <w:pStyle w:val="NoPaddingFontSize1"/>
      </w:pPr>
    </w:p>
    <w:p w:rsidR="00000000" w:rsidRPr="00ED3B98" w:rsidP="00ED3B98">
      <w:pPr>
        <w:pStyle w:val="AllowPageBreak"/>
      </w:pPr>
    </w:p>
    <w:p w:rsidR="00000000" w:rsidRPr="00ED3B98" w:rsidP="00ED3B98">
      <w:pPr>
        <w:pStyle w:val="Heading1"/>
      </w:pPr>
      <w:bookmarkStart w:id="4" w:name="O_1155666"/>
      <w:bookmarkEnd w:id="4"/>
      <w:r w:rsidRPr="00ED3B9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3B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B98" w:rsidP="00ED3B98">
            <w:pPr>
              <w:pStyle w:val="BodyText"/>
            </w:pPr>
            <w:r w:rsidRPr="00ED3B98">
              <w:t>Fire</w:t>
            </w:r>
          </w:p>
        </w:tc>
      </w:tr>
    </w:tbl>
    <w:p w:rsidR="00000000" w:rsidRPr="00ED3B98" w:rsidP="00ED3B98">
      <w:pPr>
        <w:pStyle w:val="NoPaddingFontSize1"/>
      </w:pPr>
    </w:p>
    <w:p w:rsidR="00000000" w:rsidRPr="00ED3B98" w:rsidP="00ED3B98">
      <w:pPr>
        <w:pStyle w:val="AllowPageBreak"/>
      </w:pPr>
    </w:p>
    <w:p w:rsidR="00000000" w:rsidRPr="00ED3B98" w:rsidP="00ED3B98">
      <w:pPr>
        <w:pStyle w:val="Heading1"/>
      </w:pPr>
      <w:bookmarkStart w:id="5" w:name="O_1155665"/>
      <w:bookmarkEnd w:id="5"/>
      <w:r w:rsidRPr="00ED3B9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3B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B98" w:rsidP="00ED3B98">
            <w:pPr>
              <w:pStyle w:val="BodyText"/>
            </w:pPr>
            <w:r w:rsidRPr="00ED3B98">
              <w:t>Fire</w:t>
            </w:r>
          </w:p>
        </w:tc>
      </w:tr>
    </w:tbl>
    <w:p w:rsidR="00000000" w:rsidRPr="00ED3B98" w:rsidP="00ED3B98">
      <w:pPr>
        <w:pStyle w:val="NoPaddingFontSize1"/>
      </w:pPr>
    </w:p>
    <w:p w:rsidR="00000000" w:rsidRPr="00ED3B98" w:rsidP="00ED3B98">
      <w:pPr>
        <w:pStyle w:val="AllowPageBreak"/>
      </w:pPr>
    </w:p>
    <w:p w:rsidR="00000000" w:rsidRPr="00ED3B98" w:rsidP="00ED3B98">
      <w:pPr>
        <w:pStyle w:val="Heading1"/>
      </w:pPr>
      <w:bookmarkStart w:id="6" w:name="O_1155664"/>
      <w:bookmarkEnd w:id="6"/>
      <w:r w:rsidRPr="00ED3B9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ED3B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B98" w:rsidP="00ED3B98">
            <w:pPr>
              <w:pStyle w:val="BodyText"/>
            </w:pPr>
            <w:r w:rsidRPr="00ED3B98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B98">
            <w:pPr>
              <w:pStyle w:val="BodyText"/>
              <w:rPr>
                <w:lang w:val="en-NZ"/>
              </w:rPr>
            </w:pPr>
            <w:r w:rsidRPr="00ED3B98">
              <w:rPr>
                <w:rStyle w:val="SpecialBold"/>
              </w:rPr>
              <w:t>PERFORMANCE CRITERIA</w:t>
            </w:r>
          </w:p>
        </w:tc>
      </w:tr>
      <w:tr w:rsidTr="00ED3B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B98">
            <w:pPr>
              <w:pStyle w:val="BodyText"/>
              <w:rPr>
                <w:lang w:val="en-NZ"/>
              </w:rPr>
            </w:pPr>
            <w:r w:rsidRPr="00ED3B98">
              <w:t xml:space="preserve">Elements describe the essential </w:t>
            </w:r>
            <w:r w:rsidRPr="00ED3B98">
              <w:t>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B98">
            <w:pPr>
              <w:pStyle w:val="BodyText"/>
              <w:rPr>
                <w:lang w:val="en-NZ"/>
              </w:rPr>
            </w:pPr>
            <w:r w:rsidRPr="00ED3B98">
              <w:t xml:space="preserve">Performance criteria describe the performance needed to </w:t>
            </w:r>
            <w:r w:rsidRPr="00ED3B98">
              <w:t>demonstrate achievement of the element.</w:t>
            </w:r>
          </w:p>
        </w:tc>
      </w:tr>
      <w:tr w:rsidTr="00ED3B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B98" w:rsidP="00ED3B98">
            <w:pPr>
              <w:pStyle w:val="BodyText"/>
            </w:pPr>
            <w:r w:rsidRPr="00ED3B98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B98" w:rsidP="00ED3B98">
            <w:pPr>
              <w:pStyle w:val="BodyText"/>
            </w:pPr>
            <w:r w:rsidRPr="00ED3B98">
              <w:rPr>
                <w:rStyle w:val="SpecialBold"/>
              </w:rPr>
              <w:t>Prepare evidence and other material for proceedings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B98">
            <w:pPr>
              <w:pStyle w:val="BodyText"/>
              <w:rPr>
                <w:lang w:val="en-NZ"/>
              </w:rPr>
            </w:pPr>
            <w:r w:rsidRPr="00ED3B98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B98">
            <w:pPr>
              <w:pStyle w:val="BodyText"/>
              <w:rPr>
                <w:lang w:val="en-NZ"/>
              </w:rPr>
            </w:pPr>
            <w:r w:rsidRPr="00ED3B98">
              <w:t>Detailed evidence is collected and collated</w:t>
            </w:r>
          </w:p>
        </w:tc>
      </w:tr>
      <w:tr w:rsidTr="00ED3B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B9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B98">
            <w:pPr>
              <w:pStyle w:val="BodyText"/>
              <w:rPr>
                <w:lang w:val="en-NZ"/>
              </w:rPr>
            </w:pPr>
            <w:r w:rsidRPr="00ED3B98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B98">
            <w:pPr>
              <w:pStyle w:val="BodyText"/>
              <w:rPr>
                <w:lang w:val="en-NZ"/>
              </w:rPr>
            </w:pPr>
            <w:r w:rsidRPr="00ED3B98">
              <w:t>Witnesses are selected, correctly notified and t</w:t>
            </w:r>
            <w:r w:rsidRPr="00ED3B98">
              <w:t>heir attendance arranged</w:t>
            </w:r>
          </w:p>
        </w:tc>
      </w:tr>
      <w:tr w:rsidTr="00ED3B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B9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B98">
            <w:pPr>
              <w:pStyle w:val="BodyText"/>
              <w:rPr>
                <w:lang w:val="en-NZ"/>
              </w:rPr>
            </w:pPr>
            <w:r w:rsidRPr="00ED3B98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B98">
            <w:pPr>
              <w:pStyle w:val="BodyText"/>
              <w:rPr>
                <w:lang w:val="en-NZ"/>
              </w:rPr>
            </w:pPr>
            <w:r w:rsidRPr="00ED3B98">
              <w:t>Witness statements are prepared, in accordance with the requirements of the jurisdiction involved</w:t>
            </w:r>
          </w:p>
        </w:tc>
      </w:tr>
      <w:tr w:rsidTr="00ED3B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B9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B98">
            <w:pPr>
              <w:pStyle w:val="BodyText"/>
              <w:rPr>
                <w:lang w:val="en-NZ"/>
              </w:rPr>
            </w:pPr>
            <w:r w:rsidRPr="00ED3B98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B98">
            <w:pPr>
              <w:pStyle w:val="BodyText"/>
              <w:rPr>
                <w:lang w:val="en-NZ"/>
              </w:rPr>
            </w:pPr>
            <w:r w:rsidRPr="00ED3B98">
              <w:t>Proceedings and protocols are adhered to in preparing evidence, in accordance with the jurisdiction involved</w:t>
            </w:r>
          </w:p>
        </w:tc>
      </w:tr>
      <w:tr w:rsidTr="00ED3B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B9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B98">
            <w:pPr>
              <w:pStyle w:val="BodyText"/>
              <w:rPr>
                <w:lang w:val="en-NZ"/>
              </w:rPr>
            </w:pPr>
            <w:r w:rsidRPr="00ED3B98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B98">
            <w:pPr>
              <w:pStyle w:val="BodyText"/>
              <w:rPr>
                <w:lang w:val="en-NZ"/>
              </w:rPr>
            </w:pPr>
            <w:r w:rsidRPr="00ED3B98">
              <w:t>Legal brief is prepared, as required, that identifies relevant facts and provides detailed evidence and advice</w:t>
            </w:r>
          </w:p>
        </w:tc>
      </w:tr>
      <w:tr w:rsidTr="00ED3B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B98" w:rsidP="00ED3B98">
            <w:pPr>
              <w:pStyle w:val="BodyText"/>
            </w:pPr>
            <w:r w:rsidRPr="00ED3B98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B98" w:rsidP="00ED3B98">
            <w:pPr>
              <w:pStyle w:val="BodyText"/>
            </w:pPr>
            <w:r w:rsidRPr="00ED3B98">
              <w:rPr>
                <w:rStyle w:val="SpecialBold"/>
              </w:rPr>
              <w:t>Prepare for proceedings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B98">
            <w:pPr>
              <w:pStyle w:val="BodyText"/>
              <w:rPr>
                <w:lang w:val="en-NZ"/>
              </w:rPr>
            </w:pPr>
            <w:r w:rsidRPr="00ED3B98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B98">
            <w:pPr>
              <w:pStyle w:val="BodyText"/>
              <w:rPr>
                <w:lang w:val="en-NZ"/>
              </w:rPr>
            </w:pPr>
            <w:r w:rsidRPr="00ED3B98">
              <w:t>Briefings are held with counsel as required</w:t>
            </w:r>
          </w:p>
        </w:tc>
      </w:tr>
      <w:tr w:rsidTr="00ED3B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B9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B98">
            <w:pPr>
              <w:pStyle w:val="BodyText"/>
              <w:rPr>
                <w:lang w:val="en-NZ"/>
              </w:rPr>
            </w:pPr>
            <w:r w:rsidRPr="00ED3B98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B98">
            <w:pPr>
              <w:pStyle w:val="BodyText"/>
              <w:rPr>
                <w:lang w:val="en-NZ"/>
              </w:rPr>
            </w:pPr>
            <w:r w:rsidRPr="00ED3B98">
              <w:t>Personnel involved in the proceedings are briefed</w:t>
            </w:r>
          </w:p>
        </w:tc>
      </w:tr>
      <w:tr w:rsidTr="00ED3B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B98" w:rsidP="00ED3B98">
            <w:pPr>
              <w:pStyle w:val="BodyText"/>
            </w:pPr>
            <w:r w:rsidRPr="00ED3B98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B98" w:rsidP="00ED3B98">
            <w:pPr>
              <w:pStyle w:val="BodyText"/>
            </w:pPr>
            <w:r w:rsidRPr="00ED3B98">
              <w:rPr>
                <w:rStyle w:val="SpecialBold"/>
              </w:rPr>
              <w:t>Negotiate with opposing parties where required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B98">
            <w:pPr>
              <w:pStyle w:val="BodyText"/>
              <w:rPr>
                <w:lang w:val="en-NZ"/>
              </w:rPr>
            </w:pPr>
            <w:r w:rsidRPr="00ED3B98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B98">
            <w:pPr>
              <w:pStyle w:val="BodyText"/>
              <w:rPr>
                <w:lang w:val="en-NZ"/>
              </w:rPr>
            </w:pPr>
            <w:r w:rsidRPr="00ED3B98">
              <w:t>Negotiation parameters are clearly identified prior to the court process</w:t>
            </w:r>
          </w:p>
        </w:tc>
      </w:tr>
      <w:tr w:rsidTr="00ED3B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B9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B98">
            <w:pPr>
              <w:pStyle w:val="BodyText"/>
              <w:rPr>
                <w:lang w:val="en-NZ"/>
              </w:rPr>
            </w:pPr>
            <w:r w:rsidRPr="00ED3B98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B98">
            <w:pPr>
              <w:pStyle w:val="BodyText"/>
              <w:rPr>
                <w:lang w:val="en-NZ"/>
              </w:rPr>
            </w:pPr>
            <w:r w:rsidRPr="00ED3B98">
              <w:t xml:space="preserve">Negotiations held in </w:t>
            </w:r>
            <w:r w:rsidRPr="00ED3B98">
              <w:t>conference with the opposing parties are in accordance with agreed negotiation parameters of the organisation represented, as required</w:t>
            </w:r>
          </w:p>
        </w:tc>
      </w:tr>
      <w:tr w:rsidTr="00ED3B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B98" w:rsidP="00ED3B98">
            <w:pPr>
              <w:pStyle w:val="BodyText"/>
            </w:pPr>
            <w:r w:rsidRPr="00ED3B98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B98" w:rsidP="00ED3B98">
            <w:pPr>
              <w:pStyle w:val="BodyText"/>
            </w:pPr>
            <w:r w:rsidRPr="00ED3B98">
              <w:rPr>
                <w:rStyle w:val="SpecialBold"/>
              </w:rPr>
              <w:t>Monitor rulings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B98">
            <w:pPr>
              <w:pStyle w:val="BodyText"/>
              <w:rPr>
                <w:lang w:val="en-NZ"/>
              </w:rPr>
            </w:pPr>
            <w:r w:rsidRPr="00ED3B98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B98">
            <w:pPr>
              <w:pStyle w:val="BodyText"/>
              <w:rPr>
                <w:lang w:val="en-NZ"/>
              </w:rPr>
            </w:pPr>
            <w:r w:rsidRPr="00ED3B98">
              <w:t>Outcomes of proceedings are reviewed to ensure knowledge of trends and precedents is current</w:t>
            </w:r>
          </w:p>
        </w:tc>
      </w:tr>
      <w:tr w:rsidTr="00ED3B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B9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B98">
            <w:pPr>
              <w:pStyle w:val="BodyText"/>
              <w:rPr>
                <w:lang w:val="en-NZ"/>
              </w:rPr>
            </w:pPr>
            <w:r w:rsidRPr="00ED3B98">
              <w:rPr>
                <w:rStyle w:val="SpecialBold"/>
              </w:rPr>
              <w:t>4.</w:t>
            </w:r>
            <w:r w:rsidRPr="00ED3B98">
              <w:rPr>
                <w:rStyle w:val="SpecialBold"/>
              </w:rPr>
              <w:t>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B98" w:rsidP="00ED3B98">
            <w:pPr>
              <w:pStyle w:val="BodyText"/>
            </w:pPr>
            <w:r w:rsidRPr="00ED3B98">
              <w:t>Changes to organisational policies and procedures arising from rulings and decisions are formulated</w:t>
            </w:r>
          </w:p>
        </w:tc>
      </w:tr>
    </w:tbl>
    <w:p w:rsidR="00000000" w:rsidRPr="00ED3B98" w:rsidP="00ED3B98">
      <w:pPr>
        <w:pStyle w:val="NoPaddingFontSize1"/>
      </w:pPr>
    </w:p>
    <w:p w:rsidR="00000000" w:rsidRPr="00ED3B98" w:rsidP="00ED3B98">
      <w:pPr>
        <w:pStyle w:val="AllowPageBreak"/>
      </w:pPr>
    </w:p>
    <w:p w:rsidR="00000000" w:rsidRPr="00ED3B98" w:rsidP="00ED3B98">
      <w:pPr>
        <w:pStyle w:val="Heading1"/>
      </w:pPr>
      <w:bookmarkStart w:id="7" w:name="O_1155663"/>
      <w:bookmarkEnd w:id="7"/>
      <w:r w:rsidRPr="00ED3B9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3B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B98" w:rsidP="00ED3B98">
            <w:pPr>
              <w:pStyle w:val="BodyText"/>
            </w:pPr>
            <w:r w:rsidRPr="00ED3B98">
              <w:t>Foundation skills essential to performance are explicit in the performance criteria of this unit of competency.</w:t>
            </w:r>
          </w:p>
        </w:tc>
      </w:tr>
    </w:tbl>
    <w:p w:rsidR="00000000" w:rsidRPr="00ED3B98" w:rsidP="00ED3B98">
      <w:pPr>
        <w:pStyle w:val="NoPaddingFontSize1"/>
      </w:pPr>
    </w:p>
    <w:p w:rsidR="00000000" w:rsidRPr="00ED3B98" w:rsidP="00ED3B98">
      <w:pPr>
        <w:pStyle w:val="AllowPageBreak"/>
      </w:pPr>
    </w:p>
    <w:p w:rsidR="00000000" w:rsidRPr="00ED3B98" w:rsidP="00ED3B98">
      <w:pPr>
        <w:pStyle w:val="Heading1"/>
      </w:pPr>
      <w:bookmarkStart w:id="8" w:name="O_1155662"/>
      <w:bookmarkEnd w:id="8"/>
      <w:r w:rsidRPr="00ED3B98">
        <w:t>Range of Conditions</w:t>
      </w:r>
    </w:p>
    <w:tbl>
      <w:tblPr>
        <w:tblW w:w="93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355"/>
      </w:tblGrid>
      <w:tr w:rsidTr="00ED3B98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B98" w:rsidP="00ED3B98">
            <w:pPr>
              <w:pStyle w:val="BodyText"/>
            </w:pPr>
            <w:r w:rsidRPr="00ED3B98">
              <w:t>Range is restricted to essential operating conditions and any other variables essential to the work environment.</w:t>
            </w:r>
          </w:p>
          <w:p w:rsidR="00000000" w:rsidRPr="00ED3B98" w:rsidP="00ED3B98">
            <w:pPr>
              <w:pStyle w:val="BodyText"/>
            </w:pPr>
            <w:r w:rsidRPr="00ED3B98">
              <w:t>Non-essential conditions may be found in the Companion Volume Implementation Guide.</w:t>
            </w:r>
          </w:p>
        </w:tc>
      </w:tr>
    </w:tbl>
    <w:p w:rsidR="00000000" w:rsidRPr="00ED3B98" w:rsidP="00ED3B98">
      <w:pPr>
        <w:pStyle w:val="NoPaddingFontSize1"/>
      </w:pPr>
    </w:p>
    <w:p w:rsidR="00000000" w:rsidRPr="00ED3B98" w:rsidP="00ED3B98">
      <w:pPr>
        <w:pStyle w:val="AllowPageBreak"/>
      </w:pPr>
    </w:p>
    <w:p w:rsidR="00000000" w:rsidRPr="00ED3B98" w:rsidP="00ED3B98">
      <w:pPr>
        <w:pStyle w:val="Heading1"/>
      </w:pPr>
      <w:bookmarkStart w:id="9" w:name="O_1155661"/>
      <w:bookmarkEnd w:id="9"/>
      <w:r w:rsidRPr="00ED3B9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3B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B98" w:rsidP="00ED3B98">
            <w:pPr>
              <w:pStyle w:val="BodyText"/>
            </w:pPr>
            <w:r w:rsidRPr="00ED3B98">
              <w:t>This unit replaces and is equivalent to PUALAW004B Represent the organisation in a judicial or quasi-judicial setting.</w:t>
            </w:r>
          </w:p>
        </w:tc>
      </w:tr>
    </w:tbl>
    <w:p w:rsidR="00000000" w:rsidRPr="00ED3B98" w:rsidP="00ED3B98">
      <w:pPr>
        <w:pStyle w:val="NoPaddingFontSize1"/>
      </w:pPr>
    </w:p>
    <w:p w:rsidR="00000000" w:rsidRPr="00ED3B98" w:rsidP="00ED3B98">
      <w:pPr>
        <w:pStyle w:val="AllowPageBreak"/>
      </w:pPr>
    </w:p>
    <w:p w:rsidR="00000000" w:rsidRPr="00ED3B98" w:rsidP="00ED3B98">
      <w:pPr>
        <w:pStyle w:val="Heading1"/>
      </w:pPr>
      <w:bookmarkStart w:id="10" w:name="O_1155670"/>
      <w:bookmarkEnd w:id="10"/>
      <w:r w:rsidRPr="00ED3B98">
        <w:t>Links</w:t>
      </w:r>
    </w:p>
    <w:p w:rsidR="00000000" w:rsidRPr="00ED3B98" w:rsidP="004153A8">
      <w:pPr>
        <w:pStyle w:val="BodyText"/>
      </w:pPr>
      <w:r w:rsidRPr="00ED3B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675706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ED3B98" w:rsidP="004153A8">
      <w:pPr>
        <w:pStyle w:val="BodyText"/>
        <w:sectPr w:rsidSect="00ED3B9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D3B98" w:rsidP="00ED3B98">
      <w:pPr>
        <w:pStyle w:val="SuperHeading"/>
      </w:pPr>
      <w:r w:rsidRPr="00ED3B98">
        <w:t>Assessment Requirements for PUALAW004 Represent the organisation in a judicial or quasi-judicial setting</w:t>
      </w:r>
    </w:p>
    <w:p w:rsidR="00000000" w:rsidRPr="00ED3B98" w:rsidP="00ED3B98">
      <w:pPr>
        <w:pStyle w:val="Heading1"/>
      </w:pPr>
      <w:bookmarkStart w:id="11" w:name="O_1155659"/>
      <w:bookmarkEnd w:id="11"/>
      <w:r w:rsidRPr="00ED3B9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3B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B98" w:rsidP="00ED3B98">
            <w:pPr>
              <w:pStyle w:val="BodyText"/>
            </w:pPr>
            <w:r w:rsidRPr="00ED3B98">
              <w:rPr>
                <w:rStyle w:val="SpecialBold"/>
              </w:rPr>
              <w:t>Rele</w:t>
            </w:r>
            <w:r w:rsidRPr="00ED3B98">
              <w:rPr>
                <w:rStyle w:val="SpecialBold"/>
              </w:rPr>
              <w:t>ase 2.0</w:t>
            </w:r>
            <w:r w:rsidRPr="00ED3B98">
              <w:t xml:space="preserve"> This is the second release of this unit of competency in the PUA Public Safety Training Package.</w:t>
            </w:r>
          </w:p>
          <w:p w:rsidR="00000000" w:rsidRPr="00ED3B98" w:rsidP="00ED3B98">
            <w:pPr>
              <w:pStyle w:val="BodyText"/>
            </w:pPr>
            <w:r w:rsidRPr="00ED3B98">
              <w:t>Editorial adjustments and clarification of text in Assessment Conditions.</w:t>
            </w:r>
          </w:p>
          <w:p w:rsidR="00000000" w:rsidRPr="00ED3B98" w:rsidP="00ED3B98">
            <w:pPr>
              <w:pStyle w:val="BodyText"/>
            </w:pPr>
            <w:r w:rsidRPr="00ED3B98">
              <w:rPr>
                <w:rStyle w:val="SpecialBold"/>
              </w:rPr>
              <w:t>Release 1.0</w:t>
            </w:r>
            <w:r w:rsidRPr="00ED3B98">
              <w:t xml:space="preserve"> This is the first release of this unit of competency in the PUA Public Safety Training Package.</w:t>
            </w:r>
          </w:p>
        </w:tc>
      </w:tr>
    </w:tbl>
    <w:p w:rsidR="00000000" w:rsidRPr="00ED3B98" w:rsidP="00ED3B98">
      <w:pPr>
        <w:pStyle w:val="NoPaddingFontSize1"/>
      </w:pPr>
    </w:p>
    <w:p w:rsidR="00000000" w:rsidRPr="00ED3B98" w:rsidP="00ED3B98">
      <w:pPr>
        <w:pStyle w:val="AllowPageBreak"/>
      </w:pPr>
    </w:p>
    <w:p w:rsidR="00000000" w:rsidRPr="00ED3B98" w:rsidP="00ED3B98">
      <w:pPr>
        <w:pStyle w:val="Heading1"/>
      </w:pPr>
      <w:bookmarkStart w:id="12" w:name="O_1155658"/>
      <w:bookmarkEnd w:id="12"/>
      <w:r w:rsidRPr="00ED3B9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3B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B98">
            <w:pPr>
              <w:pStyle w:val="BodyText"/>
              <w:rPr>
                <w:lang w:val="en-NZ"/>
              </w:rPr>
            </w:pPr>
            <w:r w:rsidRPr="00ED3B98">
              <w:t xml:space="preserve">Evidence required to demonstrate competence in this unit must be relevant to and satisfy all the requirements of the </w:t>
            </w:r>
            <w:r w:rsidRPr="00ED3B98">
              <w:t xml:space="preserve">elements and performance criteria on at least one occasion and includes </w:t>
            </w:r>
          </w:p>
        </w:tc>
      </w:tr>
      <w:tr w:rsidTr="00ED3B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B98" w:rsidP="00ED3B98">
            <w:pPr>
              <w:pStyle w:val="ListBullet"/>
            </w:pPr>
            <w:r w:rsidRPr="00ED3B98">
              <w:t>applying Work, Health and Safety (WHS)/Occupational Health and Safety (OHS) organisational requirements</w:t>
            </w:r>
          </w:p>
          <w:p w:rsidR="00000000" w:rsidRPr="00ED3B98" w:rsidP="00ED3B98">
            <w:pPr>
              <w:pStyle w:val="ListBullet"/>
            </w:pPr>
            <w:r w:rsidRPr="00ED3B98">
              <w:t>briefing counsel and witnesses</w:t>
            </w:r>
          </w:p>
          <w:p w:rsidR="00000000" w:rsidRPr="00ED3B98" w:rsidP="00ED3B98">
            <w:pPr>
              <w:pStyle w:val="ListBullet"/>
            </w:pPr>
            <w:r w:rsidRPr="00ED3B98">
              <w:t>collating evidence</w:t>
            </w:r>
          </w:p>
          <w:p w:rsidR="00000000" w:rsidRPr="00ED3B98" w:rsidP="00ED3B98">
            <w:pPr>
              <w:pStyle w:val="ListBullet"/>
            </w:pPr>
            <w:r w:rsidRPr="00ED3B98">
              <w:t>monitoring rulings</w:t>
            </w:r>
          </w:p>
          <w:p w:rsidR="00000000" w:rsidRPr="00ED3B98" w:rsidP="00ED3B98">
            <w:pPr>
              <w:pStyle w:val="ListBullet"/>
            </w:pPr>
            <w:r w:rsidRPr="00ED3B98">
              <w:t>negotiat</w:t>
            </w:r>
            <w:r w:rsidRPr="00ED3B98">
              <w:t>ing with opposing parties where required</w:t>
            </w:r>
          </w:p>
          <w:p w:rsidR="00000000" w:rsidRPr="00ED3B98" w:rsidP="00ED3B98">
            <w:pPr>
              <w:pStyle w:val="ListBullet"/>
            </w:pPr>
            <w:r w:rsidRPr="00ED3B98">
              <w:t>preparing comprehensive and accurate legal briefs</w:t>
            </w:r>
          </w:p>
          <w:p w:rsidR="00000000" w:rsidRPr="00ED3B98" w:rsidP="00ED3B98">
            <w:pPr>
              <w:pStyle w:val="ListBullet"/>
            </w:pPr>
            <w:r w:rsidRPr="00ED3B98">
              <w:t>preparing evidence and other material for proceedings</w:t>
            </w:r>
          </w:p>
          <w:p w:rsidR="00000000" w:rsidRPr="00ED3B98" w:rsidP="00ED3B98">
            <w:pPr>
              <w:pStyle w:val="ListBullet"/>
            </w:pPr>
            <w:r w:rsidRPr="00ED3B98">
              <w:t>preparing personnel for proceedings preparing statements</w:t>
            </w:r>
          </w:p>
          <w:p w:rsidR="00000000" w:rsidRPr="00ED3B98" w:rsidP="00ED3B98">
            <w:pPr>
              <w:pStyle w:val="ListBullet"/>
            </w:pPr>
            <w:r w:rsidRPr="00ED3B98">
              <w:t>writing reports</w:t>
            </w:r>
          </w:p>
        </w:tc>
      </w:tr>
    </w:tbl>
    <w:p w:rsidR="00000000" w:rsidRPr="00ED3B98" w:rsidP="00ED3B98">
      <w:pPr>
        <w:pStyle w:val="NoPaddingFontSize1"/>
      </w:pPr>
    </w:p>
    <w:p w:rsidR="00000000" w:rsidRPr="00ED3B98" w:rsidP="00ED3B98">
      <w:pPr>
        <w:pStyle w:val="AllowPageBreak"/>
      </w:pPr>
    </w:p>
    <w:p w:rsidR="00000000" w:rsidRPr="00ED3B98" w:rsidP="00ED3B98">
      <w:pPr>
        <w:pStyle w:val="Heading1"/>
      </w:pPr>
      <w:bookmarkStart w:id="13" w:name="O_1155657"/>
      <w:bookmarkEnd w:id="13"/>
      <w:r w:rsidRPr="00ED3B9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3B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B98">
            <w:pPr>
              <w:pStyle w:val="BodyText"/>
              <w:rPr>
                <w:lang w:val="en-NZ"/>
              </w:rPr>
            </w:pPr>
            <w:r w:rsidRPr="00ED3B98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ED3B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B98" w:rsidP="00ED3B98">
            <w:pPr>
              <w:pStyle w:val="ListBullet"/>
            </w:pPr>
            <w:r w:rsidRPr="00ED3B98">
              <w:t>burden of proof</w:t>
            </w:r>
          </w:p>
          <w:p w:rsidR="00000000" w:rsidRPr="00ED3B98" w:rsidP="00ED3B98">
            <w:pPr>
              <w:pStyle w:val="ListBullet"/>
            </w:pPr>
            <w:r w:rsidRPr="00ED3B98">
              <w:t>conduct and operation of hearings</w:t>
            </w:r>
          </w:p>
          <w:p w:rsidR="00000000" w:rsidRPr="00ED3B98" w:rsidP="00ED3B98">
            <w:pPr>
              <w:pStyle w:val="ListBullet"/>
            </w:pPr>
            <w:r w:rsidRPr="00ED3B98">
              <w:t>court pr</w:t>
            </w:r>
            <w:r w:rsidRPr="00ED3B98">
              <w:t>otocols and proceedings including for different judicial or quasi-judicial settings</w:t>
            </w:r>
          </w:p>
          <w:p w:rsidR="00000000" w:rsidRPr="00ED3B98" w:rsidP="00ED3B98">
            <w:pPr>
              <w:pStyle w:val="ListBullet"/>
            </w:pPr>
            <w:r w:rsidRPr="00ED3B98">
              <w:t>exemptions and defences</w:t>
            </w:r>
          </w:p>
          <w:p w:rsidR="00000000" w:rsidRPr="00ED3B98" w:rsidP="00ED3B98">
            <w:pPr>
              <w:pStyle w:val="ListBullet"/>
            </w:pPr>
            <w:r w:rsidRPr="00ED3B98">
              <w:t>hearsay rule</w:t>
            </w:r>
          </w:p>
          <w:p w:rsidR="00000000" w:rsidRPr="00ED3B98" w:rsidP="00ED3B98">
            <w:pPr>
              <w:pStyle w:val="ListBullet"/>
            </w:pPr>
            <w:r w:rsidRPr="00ED3B98">
              <w:t>how to prepare legal briefs and submissions</w:t>
            </w:r>
          </w:p>
          <w:p w:rsidR="00000000" w:rsidRPr="00ED3B98" w:rsidP="00ED3B98">
            <w:pPr>
              <w:pStyle w:val="ListBullet"/>
            </w:pPr>
            <w:r w:rsidRPr="00ED3B98">
              <w:t xml:space="preserve">organisational documentation, policies and procedures </w:t>
            </w:r>
          </w:p>
          <w:p w:rsidR="00000000" w:rsidRPr="00ED3B98" w:rsidP="00ED3B98">
            <w:pPr>
              <w:pStyle w:val="ListBullet"/>
            </w:pPr>
            <w:r w:rsidRPr="00ED3B98">
              <w:t>points of proof</w:t>
            </w:r>
          </w:p>
          <w:p w:rsidR="00000000" w:rsidRPr="00ED3B98" w:rsidP="00ED3B98">
            <w:pPr>
              <w:pStyle w:val="ListBullet"/>
            </w:pPr>
            <w:r w:rsidRPr="00ED3B98">
              <w:t>qualifications and experience required of expert witness</w:t>
            </w:r>
          </w:p>
          <w:p w:rsidR="00000000" w:rsidRPr="00ED3B98" w:rsidP="00ED3B98">
            <w:pPr>
              <w:pStyle w:val="ListBullet"/>
            </w:pPr>
            <w:r w:rsidRPr="00ED3B98">
              <w:t>range of crimes and/or offences that can be committed</w:t>
            </w:r>
          </w:p>
          <w:p w:rsidR="00000000" w:rsidRPr="00ED3B98" w:rsidP="00ED3B98">
            <w:pPr>
              <w:pStyle w:val="ListBullet"/>
            </w:pPr>
            <w:r w:rsidRPr="00ED3B98">
              <w:t>relevant sections of Coroners Act, Criminal Code, Evidence Act and legislation</w:t>
            </w:r>
          </w:p>
          <w:p w:rsidR="00000000" w:rsidRPr="00ED3B98" w:rsidP="00ED3B98">
            <w:pPr>
              <w:pStyle w:val="ListBullet"/>
            </w:pPr>
            <w:r w:rsidRPr="00ED3B98">
              <w:t>role of lay and expert witnesses</w:t>
            </w:r>
          </w:p>
          <w:p w:rsidR="00000000" w:rsidRPr="00ED3B98" w:rsidP="00ED3B98">
            <w:pPr>
              <w:pStyle w:val="ListBullet"/>
            </w:pPr>
            <w:r w:rsidRPr="00ED3B98">
              <w:t>rules of evidence in different ju</w:t>
            </w:r>
            <w:r w:rsidRPr="00ED3B98">
              <w:t>dicial or quasi-judicial settings</w:t>
            </w:r>
          </w:p>
          <w:p w:rsidR="00000000" w:rsidRPr="00ED3B98" w:rsidP="00ED3B98">
            <w:pPr>
              <w:pStyle w:val="ListBullet"/>
            </w:pPr>
            <w:r w:rsidRPr="00ED3B98">
              <w:t>types of evidence</w:t>
            </w:r>
          </w:p>
          <w:p w:rsidR="00000000" w:rsidRPr="00ED3B98" w:rsidP="00ED3B98">
            <w:pPr>
              <w:pStyle w:val="ListBullet"/>
            </w:pPr>
            <w:r w:rsidRPr="00ED3B98">
              <w:t xml:space="preserve">use of notes </w:t>
            </w:r>
          </w:p>
          <w:p w:rsidR="00000000" w:rsidRPr="00ED3B98" w:rsidP="00ED3B98">
            <w:pPr>
              <w:pStyle w:val="ListBullet"/>
            </w:pPr>
            <w:r w:rsidRPr="00ED3B98">
              <w:t>Work, Health and Safety (WHS)/Occupational Health and Safety (OHS) organisational requirements</w:t>
            </w:r>
          </w:p>
        </w:tc>
      </w:tr>
    </w:tbl>
    <w:p w:rsidR="00000000" w:rsidRPr="00ED3B98" w:rsidP="00ED3B98">
      <w:pPr>
        <w:pStyle w:val="NoPaddingFontSize1"/>
      </w:pPr>
    </w:p>
    <w:p w:rsidR="00000000" w:rsidRPr="00ED3B98" w:rsidP="00ED3B98">
      <w:pPr>
        <w:pStyle w:val="AllowPageBreak"/>
      </w:pPr>
    </w:p>
    <w:p w:rsidR="00000000" w:rsidRPr="00ED3B98" w:rsidP="00ED3B98">
      <w:pPr>
        <w:pStyle w:val="Heading1"/>
      </w:pPr>
      <w:bookmarkStart w:id="14" w:name="O_1155656"/>
      <w:bookmarkEnd w:id="14"/>
      <w:r w:rsidRPr="00ED3B9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3B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B98" w:rsidP="00ED3B98">
            <w:pPr>
              <w:pStyle w:val="BodyText"/>
            </w:pPr>
            <w:r w:rsidRPr="00ED3B98">
              <w:t xml:space="preserve">Assessors must hold credentials specified within the Standards for Registered Training Organisations current at the time of assessment. </w:t>
            </w:r>
          </w:p>
          <w:p w:rsidR="00000000" w:rsidRPr="00ED3B98" w:rsidP="00ED3B98">
            <w:pPr>
              <w:pStyle w:val="BodyText"/>
            </w:pPr>
            <w:r w:rsidRPr="00ED3B98">
              <w:t>Assessment must satisfy the Principles of Assessment and Rules of Evidence and all regulatory requirements included wit</w:t>
            </w:r>
            <w:r w:rsidRPr="00ED3B98">
              <w:t xml:space="preserve">hin the Standards for Registered Training Organisations current at the time of assessment. </w:t>
            </w:r>
          </w:p>
          <w:p w:rsidR="00000000" w:rsidRPr="00ED3B98" w:rsidP="00ED3B98">
            <w:pPr>
              <w:pStyle w:val="BodyText"/>
            </w:pPr>
            <w:r w:rsidRPr="00ED3B98">
              <w:t>Assessment must occur in operational situations or in simulated operational training situations that reflect workplace conditions.</w:t>
            </w:r>
          </w:p>
          <w:p w:rsidR="00000000" w:rsidRPr="00ED3B98" w:rsidP="00ED3B98">
            <w:pPr>
              <w:pStyle w:val="BodyText"/>
            </w:pPr>
            <w:r w:rsidRPr="00ED3B98">
              <w:t>Assessment processes and techniqu</w:t>
            </w:r>
            <w:r w:rsidRPr="00ED3B98">
              <w:t xml:space="preserve">es must be appropriate to the language, literacy and numeracy requirements of the work being performed and the needs of the candidate. </w:t>
            </w:r>
          </w:p>
          <w:p w:rsidR="00000000" w:rsidRPr="00ED3B98" w:rsidP="00ED3B98">
            <w:pPr>
              <w:pStyle w:val="BodyText"/>
            </w:pPr>
            <w:r w:rsidRPr="00ED3B98">
              <w:t>Resources for assessment must include access to</w:t>
            </w:r>
          </w:p>
          <w:p w:rsidR="00000000" w:rsidRPr="00ED3B98" w:rsidP="00ED3B98">
            <w:pPr>
              <w:pStyle w:val="ListBullet"/>
            </w:pPr>
            <w:r w:rsidRPr="00ED3B98">
              <w:t>a range of relevant exercises, case studies and/or simulations</w:t>
            </w:r>
          </w:p>
          <w:p w:rsidR="00000000" w:rsidRPr="00ED3B98" w:rsidP="00ED3B98">
            <w:pPr>
              <w:pStyle w:val="ListBullet"/>
            </w:pPr>
            <w:r w:rsidRPr="00ED3B98">
              <w:t>appropri</w:t>
            </w:r>
            <w:r w:rsidRPr="00ED3B98">
              <w:t>ate materials, equipment, tools and personal protective clothing and equipment currently used in industry</w:t>
            </w:r>
          </w:p>
          <w:p w:rsidR="00000000" w:rsidRPr="00ED3B98" w:rsidP="00ED3B98">
            <w:pPr>
              <w:pStyle w:val="ListBullet"/>
            </w:pPr>
            <w:r w:rsidRPr="00ED3B98">
              <w:t>applicable documentation including organisational procedures, industry standards, equipment specifications, regulations, codes of practice and operati</w:t>
            </w:r>
            <w:r w:rsidRPr="00ED3B98">
              <w:t>on manuals.</w:t>
            </w:r>
          </w:p>
        </w:tc>
      </w:tr>
    </w:tbl>
    <w:p w:rsidR="00000000" w:rsidRPr="00ED3B98" w:rsidP="00ED3B98">
      <w:pPr>
        <w:pStyle w:val="NoPaddingFontSize1"/>
      </w:pPr>
    </w:p>
    <w:p w:rsidR="00000000" w:rsidRPr="00ED3B98" w:rsidP="00ED3B98">
      <w:pPr>
        <w:pStyle w:val="AllowPageBreak"/>
      </w:pPr>
    </w:p>
    <w:p w:rsidR="00000000" w:rsidRPr="00ED3B98" w:rsidP="00ED3B98">
      <w:pPr>
        <w:pStyle w:val="Heading1"/>
      </w:pPr>
      <w:bookmarkStart w:id="15" w:name="O_1155671"/>
      <w:bookmarkEnd w:id="15"/>
      <w:r w:rsidRPr="00ED3B98">
        <w:t>Links</w:t>
      </w:r>
    </w:p>
    <w:p w:rsidR="00000000" w:rsidRPr="00ED3B98" w:rsidP="004153A8">
      <w:pPr>
        <w:pStyle w:val="BodyText"/>
      </w:pPr>
      <w:r w:rsidRPr="00ED3B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675706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ED3B98" w:rsidP="00ED3B98"/>
    <w:sectPr w:rsidSect="00ED3B9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B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B98" w:rsidRPr="004153A8" w:rsidP="004153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B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3A8" w:rsidP="00ED3B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53A8" w:rsidP="00ED3B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153A8" w:rsidP="00ED3B9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B98" w:rsidP="00ED3B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153A8">
      <w:t>Approved</w:t>
    </w:r>
    <w:r w:rsidR="004153A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153A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153A8">
      <w:rPr>
        <w:noProof/>
      </w:rPr>
      <w:t>4</w:t>
    </w:r>
    <w:r>
      <w:rPr>
        <w:noProof/>
      </w:rPr>
      <w:fldChar w:fldCharType="end"/>
    </w:r>
  </w:p>
  <w:p w:rsidR="00ED3B98" w:rsidP="00ED3B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153A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153A8">
      <w:t>Public Skills Australia</w:t>
    </w:r>
    <w:r w:rsidR="004153A8">
      <w:fldChar w:fldCharType="end"/>
    </w:r>
  </w:p>
  <w:p w:rsidR="00ED3B98" w:rsidP="00ED3B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B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3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3B98" w:rsidRPr="004153A8" w:rsidP="004153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B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3A8" w:rsidRPr="002D2AF8" w:rsidP="00ED3B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PUALAW004 Represent the organisation in a judicial or quasi-judicial setting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153A8" w:rsidP="00ED3B9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B98" w:rsidRPr="002D2AF8" w:rsidP="00ED3B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153A8">
      <w:t>PUALAW004 Represent the organisation in a judicial or quasi-judicial setting</w:t>
    </w:r>
    <w:r w:rsidR="004153A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153A8">
      <w:rPr>
        <w:noProof/>
      </w:rPr>
      <w:t>2 March 2025</w:t>
    </w:r>
    <w:r>
      <w:fldChar w:fldCharType="end"/>
    </w:r>
  </w:p>
  <w:p w:rsidR="00ED3B98" w:rsidP="00ED3B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5EA6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D890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3B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3B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3B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3B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3B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3B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3B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3B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3B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3B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3B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3B98"/>
  </w:style>
  <w:style w:type="character" w:customStyle="1" w:styleId="Heading1Char">
    <w:name w:val="Heading 1 Char"/>
    <w:basedOn w:val="DefaultParagraphFont"/>
    <w:link w:val="Heading1"/>
    <w:rsid w:val="00ED3B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3B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3B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3B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3B98"/>
    <w:rPr>
      <w:b/>
      <w:spacing w:val="0"/>
    </w:rPr>
  </w:style>
  <w:style w:type="paragraph" w:customStyle="1" w:styleId="SuperHeading">
    <w:name w:val="SuperHeading"/>
    <w:basedOn w:val="Normal"/>
    <w:rsid w:val="00ED3B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3B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D3B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3B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3B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3B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3B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3B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3B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3B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3B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3B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3B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3B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3B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3B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3B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3B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3B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3B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3B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3B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3B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3B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3B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3B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3B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3B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3B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3B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3B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3B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3B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3B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3B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3B98"/>
    <w:rPr>
      <w:i/>
    </w:rPr>
  </w:style>
  <w:style w:type="paragraph" w:styleId="Caption">
    <w:name w:val="caption"/>
    <w:basedOn w:val="BodyText"/>
    <w:next w:val="Normal"/>
    <w:qFormat/>
    <w:rsid w:val="00ED3B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3B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3B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3B98"/>
  </w:style>
  <w:style w:type="paragraph" w:styleId="TableofFigures">
    <w:name w:val="table of figures"/>
    <w:basedOn w:val="Normal"/>
    <w:next w:val="Normal"/>
    <w:semiHidden/>
    <w:rsid w:val="00ED3B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3B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3B98"/>
    <w:rPr>
      <w:rFonts w:ascii="Wingdings" w:hAnsi="Wingdings"/>
    </w:rPr>
  </w:style>
  <w:style w:type="paragraph" w:customStyle="1" w:styleId="TableHeading">
    <w:name w:val="Table Heading"/>
    <w:basedOn w:val="HeadingBase"/>
    <w:rsid w:val="00ED3B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3B98"/>
    <w:rPr>
      <w:color w:val="0033CC"/>
      <w:u w:val="none"/>
    </w:rPr>
  </w:style>
  <w:style w:type="paragraph" w:customStyle="1" w:styleId="BodyTextRight">
    <w:name w:val="Body Text Right"/>
    <w:basedOn w:val="BodyText"/>
    <w:rsid w:val="00ED3B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3B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3B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3B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3B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3B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3B98"/>
    <w:rPr>
      <w:sz w:val="32"/>
    </w:rPr>
  </w:style>
  <w:style w:type="paragraph" w:customStyle="1" w:styleId="HeadingProcedure">
    <w:name w:val="Heading Procedure"/>
    <w:basedOn w:val="HeadingBase"/>
    <w:next w:val="Normal"/>
    <w:rsid w:val="00ED3B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3B98"/>
    <w:pPr>
      <w:spacing w:before="60" w:after="60"/>
    </w:pPr>
  </w:style>
  <w:style w:type="paragraph" w:styleId="ListContinue">
    <w:name w:val="List Continue"/>
    <w:basedOn w:val="List"/>
    <w:rsid w:val="00ED3B98"/>
    <w:pPr>
      <w:ind w:firstLine="0"/>
    </w:pPr>
  </w:style>
  <w:style w:type="paragraph" w:customStyle="1" w:styleId="ListNote">
    <w:name w:val="List Note"/>
    <w:basedOn w:val="List"/>
    <w:rsid w:val="00ED3B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3B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3B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3B98"/>
    <w:rPr>
      <w:rFonts w:ascii="Courier New" w:hAnsi="Courier New"/>
    </w:rPr>
  </w:style>
  <w:style w:type="paragraph" w:customStyle="1" w:styleId="NoteBullet">
    <w:name w:val="Note Bullet"/>
    <w:basedOn w:val="Note"/>
    <w:rsid w:val="00ED3B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3B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3B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3B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3B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3B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3B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3B98"/>
    <w:rPr>
      <w:b/>
      <w:smallCaps/>
    </w:rPr>
  </w:style>
  <w:style w:type="paragraph" w:customStyle="1" w:styleId="TableListNumber">
    <w:name w:val="Table List Number"/>
    <w:basedOn w:val="ListNumber"/>
    <w:rsid w:val="00ED3B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3B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3B98"/>
    <w:pPr>
      <w:numPr>
        <w:numId w:val="8"/>
      </w:numPr>
    </w:pPr>
  </w:style>
  <w:style w:type="paragraph" w:customStyle="1" w:styleId="ListAlpha2">
    <w:name w:val="List Alpha 2"/>
    <w:basedOn w:val="List2"/>
    <w:rsid w:val="00ED3B98"/>
    <w:pPr>
      <w:numPr>
        <w:numId w:val="7"/>
      </w:numPr>
    </w:pPr>
  </w:style>
  <w:style w:type="paragraph" w:styleId="List2">
    <w:name w:val="List 2"/>
    <w:basedOn w:val="BodyText"/>
    <w:rsid w:val="00ED3B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3B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3B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3B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3B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3B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3B98"/>
    <w:pPr>
      <w:numPr>
        <w:numId w:val="3"/>
      </w:numPr>
    </w:pPr>
  </w:style>
  <w:style w:type="paragraph" w:styleId="ListContinue2">
    <w:name w:val="List Continue 2"/>
    <w:basedOn w:val="List2"/>
    <w:rsid w:val="00ED3B98"/>
    <w:pPr>
      <w:ind w:firstLine="0"/>
    </w:pPr>
  </w:style>
  <w:style w:type="paragraph" w:styleId="ListContinue3">
    <w:name w:val="List Continue 3"/>
    <w:basedOn w:val="List3"/>
    <w:rsid w:val="00ED3B98"/>
    <w:pPr>
      <w:ind w:left="1021" w:firstLine="0"/>
    </w:pPr>
  </w:style>
  <w:style w:type="paragraph" w:styleId="ListContinue4">
    <w:name w:val="List Continue 4"/>
    <w:basedOn w:val="List4"/>
    <w:rsid w:val="00ED3B98"/>
    <w:pPr>
      <w:ind w:firstLine="0"/>
    </w:pPr>
  </w:style>
  <w:style w:type="paragraph" w:styleId="ListContinue5">
    <w:name w:val="List Continue 5"/>
    <w:basedOn w:val="List5"/>
    <w:rsid w:val="00ED3B98"/>
    <w:pPr>
      <w:ind w:firstLine="0"/>
    </w:pPr>
  </w:style>
  <w:style w:type="paragraph" w:styleId="ListNumber3">
    <w:name w:val="List Number 3"/>
    <w:basedOn w:val="List3"/>
    <w:rsid w:val="00ED3B98"/>
    <w:pPr>
      <w:numPr>
        <w:numId w:val="4"/>
      </w:numPr>
    </w:pPr>
  </w:style>
  <w:style w:type="paragraph" w:styleId="ListNumber4">
    <w:name w:val="List Number 4"/>
    <w:basedOn w:val="List4"/>
    <w:rsid w:val="00ED3B98"/>
    <w:pPr>
      <w:numPr>
        <w:numId w:val="5"/>
      </w:numPr>
    </w:pPr>
  </w:style>
  <w:style w:type="paragraph" w:styleId="ListNumber5">
    <w:name w:val="List Number 5"/>
    <w:basedOn w:val="List5"/>
    <w:rsid w:val="00ED3B98"/>
    <w:pPr>
      <w:numPr>
        <w:numId w:val="6"/>
      </w:numPr>
    </w:pPr>
  </w:style>
  <w:style w:type="paragraph" w:styleId="BlockText">
    <w:name w:val="Block Text"/>
    <w:basedOn w:val="Normal"/>
    <w:rsid w:val="00ED3B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3B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3B98"/>
    <w:rPr>
      <w:sz w:val="16"/>
      <w:vertAlign w:val="superscript"/>
    </w:rPr>
  </w:style>
  <w:style w:type="character" w:customStyle="1" w:styleId="Symbols">
    <w:name w:val="Symbols"/>
    <w:basedOn w:val="DefaultParagraphFont"/>
    <w:rsid w:val="00ED3B98"/>
    <w:rPr>
      <w:rFonts w:ascii="Symbol" w:hAnsi="Symbol"/>
    </w:rPr>
  </w:style>
  <w:style w:type="character" w:customStyle="1" w:styleId="MenuOptions">
    <w:name w:val="Menu Options"/>
    <w:basedOn w:val="DefaultParagraphFont"/>
    <w:rsid w:val="00ED3B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3B98"/>
    <w:rPr>
      <w:b/>
    </w:rPr>
  </w:style>
  <w:style w:type="character" w:customStyle="1" w:styleId="Underlined">
    <w:name w:val="Underlined"/>
    <w:basedOn w:val="DefaultParagraphFont"/>
    <w:rsid w:val="00ED3B98"/>
    <w:rPr>
      <w:u w:val="single"/>
    </w:rPr>
  </w:style>
  <w:style w:type="paragraph" w:customStyle="1" w:styleId="TableBodyTextRight">
    <w:name w:val="Table Body Text Right"/>
    <w:basedOn w:val="TableBodyText"/>
    <w:rsid w:val="00ED3B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3B98"/>
    <w:rPr>
      <w:sz w:val="18"/>
    </w:rPr>
  </w:style>
  <w:style w:type="paragraph" w:customStyle="1" w:styleId="BodySmallRight">
    <w:name w:val="Body Small Right"/>
    <w:basedOn w:val="BodyTextRight"/>
    <w:rsid w:val="00ED3B98"/>
    <w:rPr>
      <w:sz w:val="18"/>
      <w:szCs w:val="18"/>
    </w:rPr>
  </w:style>
  <w:style w:type="paragraph" w:customStyle="1" w:styleId="MarginEdition">
    <w:name w:val="Margin Edition"/>
    <w:basedOn w:val="MarginNote"/>
    <w:rsid w:val="00ED3B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3B98"/>
    <w:rPr>
      <w:sz w:val="2"/>
      <w:szCs w:val="2"/>
    </w:rPr>
  </w:style>
  <w:style w:type="character" w:customStyle="1" w:styleId="Small">
    <w:name w:val="Small"/>
    <w:basedOn w:val="DefaultParagraphFont"/>
    <w:rsid w:val="00ED3B98"/>
    <w:rPr>
      <w:sz w:val="16"/>
    </w:rPr>
  </w:style>
  <w:style w:type="paragraph" w:customStyle="1" w:styleId="WideTable">
    <w:name w:val="Wide Table"/>
    <w:basedOn w:val="Normal"/>
    <w:rsid w:val="00ED3B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3B98"/>
  </w:style>
  <w:style w:type="paragraph" w:styleId="Quote">
    <w:name w:val="Quote"/>
    <w:basedOn w:val="Heading1"/>
    <w:link w:val="QuoteChar"/>
    <w:qFormat/>
    <w:rsid w:val="00ED3B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3B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3B98"/>
    <w:pPr>
      <w:pageBreakBefore/>
    </w:pPr>
  </w:style>
  <w:style w:type="paragraph" w:customStyle="1" w:styleId="Border">
    <w:name w:val="Border"/>
    <w:basedOn w:val="Normal"/>
    <w:qFormat/>
    <w:rsid w:val="00ED3B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3B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3B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3B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3B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3B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3B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3B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3B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3B98"/>
    <w:rPr>
      <w:u w:val="single"/>
    </w:rPr>
  </w:style>
  <w:style w:type="character" w:customStyle="1" w:styleId="BoldandItalics">
    <w:name w:val="Bold and Italics"/>
    <w:qFormat/>
    <w:rsid w:val="00ED3B98"/>
    <w:rPr>
      <w:b/>
      <w:i/>
      <w:u w:val="none"/>
    </w:rPr>
  </w:style>
  <w:style w:type="paragraph" w:styleId="BalloonText">
    <w:name w:val="Balloon Text"/>
    <w:basedOn w:val="Normal"/>
    <w:link w:val="BalloonTextChar"/>
    <w:rsid w:val="00ED3B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3B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3B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3B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3B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3B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3B98"/>
    <w:pPr>
      <w:spacing w:before="0" w:after="0"/>
    </w:pPr>
  </w:style>
  <w:style w:type="paragraph" w:customStyle="1" w:styleId="BodyTextBold">
    <w:name w:val="Body Text Bold"/>
    <w:basedOn w:val="BodyText"/>
    <w:qFormat/>
    <w:rsid w:val="00ED3B98"/>
    <w:rPr>
      <w:b/>
    </w:rPr>
  </w:style>
  <w:style w:type="character" w:styleId="Hyperlink">
    <w:name w:val="Hyperlink"/>
    <w:basedOn w:val="DefaultParagraphFont"/>
    <w:uiPriority w:val="99"/>
    <w:unhideWhenUsed/>
    <w:rsid w:val="004153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909</Words>
  <Characters>5869</Characters>
  <Application>Microsoft Office Word</Application>
  <DocSecurity>0</DocSecurity>
  <Lines>202</Lines>
  <Paragraphs>127</Paragraphs>
  <ScaleCrop>false</ScaleCrop>
  <Company>Author-it Software Corporation Ltd.</Company>
  <LinksUpToDate>false</LinksUpToDate>
  <CharactersWithSpaces>6651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PUALAW004 Represent the organisation in a judicial or quasi-judicial setting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2025-03-02T01:38:00Z</dcterms:created>
  <dcterms:modified xsi:type="dcterms:W3CDTF">2025-03-02T01:38:00Z</dcterms:modified>
</cp:coreProperties>
</file>