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EC9" w:rsidP="00F47E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PUALAW003 Give evidence in a judicial or quasi-judicial setting</w:t>
      </w:r>
      <w:r>
        <w:fldChar w:fldCharType="end"/>
      </w:r>
    </w:p>
    <w:p w:rsidR="00F47EC9" w:rsidP="00F47EC9">
      <w:pPr>
        <w:pStyle w:val="Version"/>
        <w:sectPr w:rsidSect="00430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F28" w:rsidP="00430F28">
      <w:pPr>
        <w:pStyle w:val="SuperHeading"/>
      </w:pPr>
      <w:r w:rsidRPr="00430F28">
        <w:t>PUALAW003 Give evidence in a judicial or quasi-judicial setting</w:t>
      </w:r>
    </w:p>
    <w:p w:rsidR="00000000" w:rsidRPr="00430F28" w:rsidP="00430F28">
      <w:pPr>
        <w:pStyle w:val="Heading1"/>
      </w:pPr>
      <w:bookmarkStart w:id="1" w:name="O_1031210"/>
      <w:bookmarkEnd w:id="1"/>
      <w:r w:rsidRPr="00430F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rPr>
                <w:rStyle w:val="SpecialBold"/>
              </w:rPr>
              <w:t>Release 1.</w:t>
            </w:r>
            <w:r w:rsidRPr="00430F28">
              <w:t xml:space="preserve"> This is the first release of this unit of competency in the PUA Public Safety Training Package.</w:t>
            </w:r>
          </w:p>
        </w:tc>
      </w:tr>
    </w:tbl>
    <w:p w:rsidR="00000000" w:rsidRPr="00430F28" w:rsidP="00430F28">
      <w:pPr>
        <w:pStyle w:val="NoPaddingFontSize1"/>
      </w:pPr>
    </w:p>
    <w:p w:rsidR="00000000" w:rsidRPr="00430F28" w:rsidP="00430F28">
      <w:pPr>
        <w:pStyle w:val="AllowPageBreak"/>
      </w:pPr>
    </w:p>
    <w:p w:rsidR="00000000" w:rsidRPr="00430F28" w:rsidP="00430F28">
      <w:pPr>
        <w:pStyle w:val="Heading1"/>
      </w:pPr>
      <w:bookmarkStart w:id="2" w:name="O_1031211"/>
      <w:bookmarkEnd w:id="2"/>
      <w:r w:rsidRPr="00430F2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t>This unit of competency involves the skills and knowledge required to prepare and present evidence and follow up on the outcomes of proceedings.</w:t>
            </w:r>
          </w:p>
          <w:p w:rsidR="00000000" w:rsidRPr="00430F28" w:rsidP="00430F28">
            <w:pPr>
              <w:pStyle w:val="BodyText"/>
            </w:pPr>
            <w:r w:rsidRPr="00430F28">
              <w:t>The unit applies to personnel who may be called as a witness in relation to specific incidents, this may includ</w:t>
            </w:r>
            <w:r w:rsidRPr="00430F28">
              <w:t>e detailing incident events including operational and organisational procedures. It does not apply to an ongoing role in the presentation of evidence.</w:t>
            </w:r>
          </w:p>
          <w:p w:rsidR="00000000" w:rsidRPr="00430F28" w:rsidP="00430F28">
            <w:pPr>
              <w:pStyle w:val="BodyText"/>
            </w:pPr>
            <w:r w:rsidRPr="00430F28">
              <w:t xml:space="preserve">The fire sector is those sections of government departments, statutory authorities or organisations that </w:t>
            </w:r>
            <w:r w:rsidRPr="00430F28">
              <w:t>have responsibility under jurisdictional arrangements for the delivery of firefighting and fire management services.</w:t>
            </w:r>
          </w:p>
          <w:p w:rsidR="00000000" w:rsidRPr="00430F28" w:rsidP="00430F28">
            <w:pPr>
              <w:pStyle w:val="BodyText"/>
            </w:pPr>
            <w:r w:rsidRPr="00430F28">
              <w:t>No licensing, legislative or certification requirements apply to this unit at the time of publication.</w:t>
            </w:r>
          </w:p>
        </w:tc>
      </w:tr>
    </w:tbl>
    <w:p w:rsidR="00000000" w:rsidRPr="00430F28" w:rsidP="00430F28">
      <w:pPr>
        <w:pStyle w:val="NoPaddingFontSize1"/>
      </w:pPr>
    </w:p>
    <w:p w:rsidR="00000000" w:rsidRPr="00430F28" w:rsidP="00430F28">
      <w:pPr>
        <w:pStyle w:val="AllowPageBreak"/>
      </w:pPr>
    </w:p>
    <w:p w:rsidR="00000000" w:rsidRPr="00430F28" w:rsidP="00430F28">
      <w:pPr>
        <w:pStyle w:val="Heading1"/>
      </w:pPr>
      <w:bookmarkStart w:id="3" w:name="O_1031212"/>
      <w:bookmarkEnd w:id="3"/>
      <w:r w:rsidRPr="00430F28">
        <w:t>Pre-requisite U</w:t>
      </w:r>
      <w:r w:rsidRPr="00430F28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t>Not applicable.</w:t>
            </w:r>
          </w:p>
        </w:tc>
      </w:tr>
    </w:tbl>
    <w:p w:rsidR="00000000" w:rsidRPr="00430F28" w:rsidP="00430F28">
      <w:pPr>
        <w:pStyle w:val="NoPaddingFontSize1"/>
      </w:pPr>
    </w:p>
    <w:p w:rsidR="00000000" w:rsidRPr="00430F28" w:rsidP="00430F28">
      <w:pPr>
        <w:pStyle w:val="AllowPageBreak"/>
      </w:pPr>
    </w:p>
    <w:p w:rsidR="00000000" w:rsidRPr="00430F28" w:rsidP="00430F28">
      <w:pPr>
        <w:pStyle w:val="Heading1"/>
      </w:pPr>
      <w:bookmarkStart w:id="4" w:name="O_1031213"/>
      <w:bookmarkEnd w:id="4"/>
      <w:r w:rsidRPr="00430F2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t>Fire</w:t>
            </w:r>
          </w:p>
        </w:tc>
      </w:tr>
    </w:tbl>
    <w:p w:rsidR="00000000" w:rsidRPr="00430F28" w:rsidP="00430F28">
      <w:pPr>
        <w:pStyle w:val="NoPaddingFontSize1"/>
      </w:pPr>
    </w:p>
    <w:p w:rsidR="00000000" w:rsidRPr="00430F28" w:rsidP="00430F28">
      <w:pPr>
        <w:pStyle w:val="AllowPageBreak"/>
      </w:pPr>
    </w:p>
    <w:p w:rsidR="00000000" w:rsidRPr="00430F28" w:rsidP="00430F28">
      <w:pPr>
        <w:pStyle w:val="Heading1"/>
      </w:pPr>
      <w:bookmarkStart w:id="5" w:name="O_1031214"/>
      <w:bookmarkEnd w:id="5"/>
      <w:r w:rsidRPr="00430F2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t>Fire</w:t>
            </w:r>
          </w:p>
        </w:tc>
      </w:tr>
    </w:tbl>
    <w:p w:rsidR="00000000" w:rsidRPr="00430F28" w:rsidP="00430F28">
      <w:pPr>
        <w:pStyle w:val="NoPaddingFontSize1"/>
      </w:pPr>
    </w:p>
    <w:p w:rsidR="00000000" w:rsidRPr="00430F28" w:rsidP="00430F28">
      <w:pPr>
        <w:pStyle w:val="AllowPageBreak"/>
      </w:pPr>
    </w:p>
    <w:p w:rsidR="00000000" w:rsidRPr="00430F28" w:rsidP="00430F28">
      <w:pPr>
        <w:pStyle w:val="Heading1"/>
      </w:pPr>
      <w:bookmarkStart w:id="6" w:name="O_1031215"/>
      <w:bookmarkEnd w:id="6"/>
      <w:r w:rsidRPr="00430F2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30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rPr>
                <w:rStyle w:val="SpecialBold"/>
              </w:rPr>
              <w:t>PERFORMANCE CRITERIA</w:t>
            </w:r>
          </w:p>
        </w:tc>
      </w:tr>
      <w:tr w:rsidTr="00430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t>Performance criteria describe the performance needed to demonstrate achievement of the element.</w:t>
            </w:r>
          </w:p>
        </w:tc>
      </w:tr>
      <w:tr w:rsidTr="00430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rPr>
                <w:rStyle w:val="SpecialBold"/>
              </w:rPr>
              <w:t>Prepare for proceedings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t>Arrangements, role and involvement in proceedings are confirmed</w:t>
            </w:r>
          </w:p>
        </w:tc>
      </w:tr>
      <w:tr w:rsidTr="00430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t xml:space="preserve">Documentation including witness statements and exhibits are prepared, in accordance with organisational policies and procedures and legislative requirements </w:t>
            </w:r>
          </w:p>
        </w:tc>
      </w:tr>
      <w:tr w:rsidTr="00430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rPr>
                <w:rStyle w:val="SpecialBold"/>
              </w:rPr>
              <w:t>Present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t>Proceedings and protocols relevant to the jurisdiction are adhered to throughout the proceedings</w:t>
            </w:r>
          </w:p>
        </w:tc>
      </w:tr>
      <w:tr w:rsidTr="00430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t>Rules of evidence relevant to the jurisdiction are adhered to</w:t>
            </w:r>
          </w:p>
        </w:tc>
      </w:tr>
      <w:tr w:rsidTr="00430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t>Evidence is presented in a clear, concise and articulate manner</w:t>
            </w:r>
          </w:p>
        </w:tc>
      </w:tr>
      <w:tr w:rsidTr="00430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t>Considered e</w:t>
            </w:r>
            <w:r w:rsidRPr="00430F28">
              <w:t>xpert evidence is provided on request, in accordance with organisational policy and is consistent with qualifications and expertise</w:t>
            </w:r>
          </w:p>
        </w:tc>
      </w:tr>
      <w:tr w:rsidTr="00430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rPr>
                <w:rStyle w:val="SpecialBold"/>
              </w:rPr>
              <w:t>Follow up outcomes of proceedings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t>Outcomes of the proceedings are noted, filed and reports are completed, in accordan</w:t>
            </w:r>
            <w:r w:rsidRPr="00430F28">
              <w:t xml:space="preserve">ce with organisational procedures </w:t>
            </w:r>
          </w:p>
        </w:tc>
      </w:tr>
      <w:tr w:rsidTr="00430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F28">
            <w:pPr>
              <w:pStyle w:val="BodyText"/>
              <w:rPr>
                <w:lang w:val="en-NZ"/>
              </w:rPr>
            </w:pPr>
            <w:r w:rsidRPr="00430F2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t>Required actions are implemented, in accordance with organisational policies and procedures</w:t>
            </w:r>
          </w:p>
        </w:tc>
      </w:tr>
    </w:tbl>
    <w:p w:rsidR="00000000" w:rsidRPr="00430F28" w:rsidP="00430F28">
      <w:pPr>
        <w:pStyle w:val="NoPaddingFontSize1"/>
      </w:pPr>
    </w:p>
    <w:p w:rsidR="00000000" w:rsidRPr="00430F28" w:rsidP="00430F28">
      <w:pPr>
        <w:pStyle w:val="AllowPageBreak"/>
      </w:pPr>
    </w:p>
    <w:p w:rsidR="00000000" w:rsidRPr="00430F28" w:rsidP="00430F28">
      <w:pPr>
        <w:pStyle w:val="Heading1"/>
      </w:pPr>
      <w:bookmarkStart w:id="7" w:name="O_1031216"/>
      <w:bookmarkEnd w:id="7"/>
      <w:r w:rsidRPr="00430F2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t>Foundation skills essential to performance are explicit in the performance criteria of this unit of competency.</w:t>
            </w:r>
          </w:p>
        </w:tc>
      </w:tr>
    </w:tbl>
    <w:p w:rsidR="00000000" w:rsidRPr="00430F28" w:rsidP="00430F28">
      <w:pPr>
        <w:pStyle w:val="NoPaddingFontSize1"/>
      </w:pPr>
    </w:p>
    <w:p w:rsidR="00000000" w:rsidRPr="00430F28" w:rsidP="00430F28">
      <w:pPr>
        <w:pStyle w:val="AllowPageBreak"/>
      </w:pPr>
    </w:p>
    <w:p w:rsidR="00000000" w:rsidRPr="00430F28" w:rsidP="00430F28">
      <w:pPr>
        <w:pStyle w:val="Heading1"/>
      </w:pPr>
      <w:bookmarkStart w:id="8" w:name="O_1031217"/>
      <w:bookmarkEnd w:id="8"/>
      <w:r w:rsidRPr="00430F2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t>Range is restricted to essential operating conditions and any other variables essential to the work env</w:t>
            </w:r>
            <w:r w:rsidRPr="00430F28">
              <w:t>ironment.</w:t>
            </w:r>
          </w:p>
          <w:p w:rsidR="00000000" w:rsidRPr="00430F28" w:rsidP="00430F28">
            <w:pPr>
              <w:pStyle w:val="BodyText"/>
            </w:pPr>
            <w:r w:rsidRPr="00430F28">
              <w:t>Non-essential conditions may be found in the Companion Volume Implementation Guide.</w:t>
            </w:r>
          </w:p>
        </w:tc>
      </w:tr>
    </w:tbl>
    <w:p w:rsidR="00000000" w:rsidRPr="00430F28" w:rsidP="00430F28">
      <w:pPr>
        <w:pStyle w:val="NoPaddingFontSize1"/>
      </w:pPr>
    </w:p>
    <w:p w:rsidR="00000000" w:rsidRPr="00430F28" w:rsidP="00430F28">
      <w:pPr>
        <w:pStyle w:val="AllowPageBreak"/>
      </w:pPr>
    </w:p>
    <w:p w:rsidR="00000000" w:rsidRPr="00430F28" w:rsidP="00430F28">
      <w:pPr>
        <w:pStyle w:val="Heading1"/>
      </w:pPr>
      <w:bookmarkStart w:id="9" w:name="O_1031218"/>
      <w:bookmarkEnd w:id="9"/>
      <w:r w:rsidRPr="00430F2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F28" w:rsidP="00430F28">
            <w:pPr>
              <w:pStyle w:val="BodyText"/>
            </w:pPr>
            <w:r w:rsidRPr="00430F28">
              <w:t>This unit replaces and is equivalent to PUALAW003B Give evidence in a judicial or quasi-judicial setting.</w:t>
            </w:r>
          </w:p>
        </w:tc>
      </w:tr>
    </w:tbl>
    <w:p w:rsidR="00000000" w:rsidRPr="00430F28" w:rsidP="00430F28">
      <w:pPr>
        <w:pStyle w:val="NoPaddingFontSize1"/>
      </w:pPr>
    </w:p>
    <w:p w:rsidR="00000000" w:rsidRPr="00430F28" w:rsidP="00430F28">
      <w:pPr>
        <w:pStyle w:val="AllowPageBreak"/>
      </w:pPr>
    </w:p>
    <w:p w:rsidR="00000000" w:rsidRPr="00430F28" w:rsidP="00430F28">
      <w:pPr>
        <w:pStyle w:val="Heading1"/>
      </w:pPr>
      <w:bookmarkStart w:id="10" w:name="O_1031225"/>
      <w:bookmarkEnd w:id="10"/>
      <w:r w:rsidRPr="00430F28">
        <w:t>Links</w:t>
      </w:r>
    </w:p>
    <w:p w:rsidR="00000000" w:rsidRPr="00430F28" w:rsidP="00F47EC9">
      <w:pPr>
        <w:pStyle w:val="BodyText"/>
      </w:pPr>
      <w:r w:rsidRPr="00430F2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9659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30F28" w:rsidP="00430F28"/>
    <w:sectPr w:rsidSect="00430F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F28" w:rsidRPr="00F47EC9" w:rsidP="00F47E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C9" w:rsidP="00430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7EC9" w:rsidP="00430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7EC9" w:rsidP="00430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F28" w:rsidRPr="00F47EC9" w:rsidP="00F47E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C9" w:rsidRPr="002D2AF8" w:rsidP="00430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PUALAW003 Give evidence in a judicial or quasi-judicial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47EC9" w:rsidP="00430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F28"/>
  </w:style>
  <w:style w:type="character" w:customStyle="1" w:styleId="Heading1Char">
    <w:name w:val="Heading 1 Char"/>
    <w:basedOn w:val="DefaultParagraphFont"/>
    <w:link w:val="Heading1"/>
    <w:rsid w:val="00430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F2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0F28"/>
    <w:rPr>
      <w:b/>
      <w:spacing w:val="0"/>
    </w:rPr>
  </w:style>
  <w:style w:type="paragraph" w:customStyle="1" w:styleId="SuperHeading">
    <w:name w:val="SuperHeading"/>
    <w:basedOn w:val="Normal"/>
    <w:rsid w:val="00430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0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F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0F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0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0F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0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F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0F28"/>
    <w:rPr>
      <w:i/>
    </w:rPr>
  </w:style>
  <w:style w:type="paragraph" w:styleId="Caption">
    <w:name w:val="caption"/>
    <w:basedOn w:val="BodyText"/>
    <w:next w:val="Normal"/>
    <w:qFormat/>
    <w:rsid w:val="00430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F28"/>
  </w:style>
  <w:style w:type="paragraph" w:styleId="TableofFigures">
    <w:name w:val="table of figures"/>
    <w:basedOn w:val="Normal"/>
    <w:next w:val="Normal"/>
    <w:semiHidden/>
    <w:rsid w:val="00430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F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0F28"/>
    <w:rPr>
      <w:rFonts w:ascii="Wingdings" w:hAnsi="Wingdings"/>
    </w:rPr>
  </w:style>
  <w:style w:type="paragraph" w:customStyle="1" w:styleId="TableHeading">
    <w:name w:val="Table Heading"/>
    <w:basedOn w:val="HeadingBase"/>
    <w:rsid w:val="00430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F28"/>
    <w:rPr>
      <w:color w:val="0033CC"/>
      <w:u w:val="none"/>
    </w:rPr>
  </w:style>
  <w:style w:type="paragraph" w:customStyle="1" w:styleId="BodyTextRight">
    <w:name w:val="Body Text Right"/>
    <w:basedOn w:val="BodyText"/>
    <w:rsid w:val="00430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F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F28"/>
    <w:rPr>
      <w:sz w:val="32"/>
    </w:rPr>
  </w:style>
  <w:style w:type="paragraph" w:customStyle="1" w:styleId="HeadingProcedure">
    <w:name w:val="Heading Procedure"/>
    <w:basedOn w:val="HeadingBase"/>
    <w:next w:val="Normal"/>
    <w:rsid w:val="00430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F28"/>
    <w:pPr>
      <w:spacing w:before="60" w:after="60"/>
    </w:pPr>
  </w:style>
  <w:style w:type="paragraph" w:styleId="ListContinue">
    <w:name w:val="List Continue"/>
    <w:basedOn w:val="List"/>
    <w:rsid w:val="00430F28"/>
    <w:pPr>
      <w:ind w:firstLine="0"/>
    </w:pPr>
  </w:style>
  <w:style w:type="paragraph" w:customStyle="1" w:styleId="ListNote">
    <w:name w:val="List Note"/>
    <w:basedOn w:val="List"/>
    <w:rsid w:val="00430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F28"/>
    <w:rPr>
      <w:rFonts w:ascii="Courier New" w:hAnsi="Courier New"/>
    </w:rPr>
  </w:style>
  <w:style w:type="paragraph" w:customStyle="1" w:styleId="NoteBullet">
    <w:name w:val="Note Bullet"/>
    <w:basedOn w:val="Note"/>
    <w:rsid w:val="00430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F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0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F28"/>
    <w:rPr>
      <w:b/>
      <w:smallCaps/>
    </w:rPr>
  </w:style>
  <w:style w:type="paragraph" w:customStyle="1" w:styleId="TableListNumber">
    <w:name w:val="Table List Number"/>
    <w:basedOn w:val="ListNumber"/>
    <w:rsid w:val="00430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F28"/>
    <w:pPr>
      <w:numPr>
        <w:numId w:val="7"/>
      </w:numPr>
    </w:pPr>
  </w:style>
  <w:style w:type="paragraph" w:customStyle="1" w:styleId="ListAlpha2">
    <w:name w:val="List Alpha 2"/>
    <w:basedOn w:val="List2"/>
    <w:rsid w:val="00430F28"/>
    <w:pPr>
      <w:numPr>
        <w:numId w:val="6"/>
      </w:numPr>
    </w:pPr>
  </w:style>
  <w:style w:type="paragraph" w:styleId="List2">
    <w:name w:val="List 2"/>
    <w:basedOn w:val="BodyText"/>
    <w:rsid w:val="00430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F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F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0F28"/>
    <w:pPr>
      <w:numPr>
        <w:numId w:val="2"/>
      </w:numPr>
    </w:pPr>
  </w:style>
  <w:style w:type="paragraph" w:styleId="ListContinue2">
    <w:name w:val="List Continue 2"/>
    <w:basedOn w:val="List2"/>
    <w:rsid w:val="00430F28"/>
    <w:pPr>
      <w:ind w:firstLine="0"/>
    </w:pPr>
  </w:style>
  <w:style w:type="paragraph" w:styleId="ListContinue3">
    <w:name w:val="List Continue 3"/>
    <w:basedOn w:val="List3"/>
    <w:rsid w:val="00430F28"/>
    <w:pPr>
      <w:ind w:left="1021" w:firstLine="0"/>
    </w:pPr>
  </w:style>
  <w:style w:type="paragraph" w:styleId="ListContinue4">
    <w:name w:val="List Continue 4"/>
    <w:basedOn w:val="List4"/>
    <w:rsid w:val="00430F28"/>
    <w:pPr>
      <w:ind w:firstLine="0"/>
    </w:pPr>
  </w:style>
  <w:style w:type="paragraph" w:styleId="ListContinue5">
    <w:name w:val="List Continue 5"/>
    <w:basedOn w:val="List5"/>
    <w:rsid w:val="00430F28"/>
    <w:pPr>
      <w:ind w:firstLine="0"/>
    </w:pPr>
  </w:style>
  <w:style w:type="paragraph" w:styleId="ListNumber3">
    <w:name w:val="List Number 3"/>
    <w:basedOn w:val="List3"/>
    <w:rsid w:val="00430F28"/>
    <w:pPr>
      <w:numPr>
        <w:numId w:val="3"/>
      </w:numPr>
    </w:pPr>
  </w:style>
  <w:style w:type="paragraph" w:styleId="ListNumber4">
    <w:name w:val="List Number 4"/>
    <w:basedOn w:val="List4"/>
    <w:rsid w:val="00430F28"/>
    <w:pPr>
      <w:numPr>
        <w:numId w:val="4"/>
      </w:numPr>
    </w:pPr>
  </w:style>
  <w:style w:type="paragraph" w:styleId="ListNumber5">
    <w:name w:val="List Number 5"/>
    <w:basedOn w:val="List5"/>
    <w:rsid w:val="00430F28"/>
    <w:pPr>
      <w:numPr>
        <w:numId w:val="5"/>
      </w:numPr>
    </w:pPr>
  </w:style>
  <w:style w:type="paragraph" w:styleId="BlockText">
    <w:name w:val="Block Text"/>
    <w:basedOn w:val="Normal"/>
    <w:rsid w:val="00430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F28"/>
    <w:rPr>
      <w:sz w:val="16"/>
      <w:vertAlign w:val="superscript"/>
    </w:rPr>
  </w:style>
  <w:style w:type="character" w:customStyle="1" w:styleId="Symbols">
    <w:name w:val="Symbols"/>
    <w:basedOn w:val="DefaultParagraphFont"/>
    <w:rsid w:val="00430F28"/>
    <w:rPr>
      <w:rFonts w:ascii="Symbol" w:hAnsi="Symbol"/>
    </w:rPr>
  </w:style>
  <w:style w:type="character" w:customStyle="1" w:styleId="MenuOptions">
    <w:name w:val="Menu Options"/>
    <w:basedOn w:val="DefaultParagraphFont"/>
    <w:rsid w:val="00430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F28"/>
    <w:rPr>
      <w:b/>
    </w:rPr>
  </w:style>
  <w:style w:type="character" w:customStyle="1" w:styleId="Underlined">
    <w:name w:val="Underlined"/>
    <w:basedOn w:val="DefaultParagraphFont"/>
    <w:rsid w:val="00430F28"/>
    <w:rPr>
      <w:u w:val="single"/>
    </w:rPr>
  </w:style>
  <w:style w:type="paragraph" w:customStyle="1" w:styleId="TableBodyTextRight">
    <w:name w:val="Table Body Text Right"/>
    <w:basedOn w:val="TableBodyText"/>
    <w:rsid w:val="00430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F28"/>
    <w:rPr>
      <w:sz w:val="18"/>
    </w:rPr>
  </w:style>
  <w:style w:type="paragraph" w:customStyle="1" w:styleId="BodySmallRight">
    <w:name w:val="Body Small Right"/>
    <w:basedOn w:val="BodyTextRight"/>
    <w:rsid w:val="00430F28"/>
    <w:rPr>
      <w:sz w:val="18"/>
      <w:szCs w:val="18"/>
    </w:rPr>
  </w:style>
  <w:style w:type="paragraph" w:customStyle="1" w:styleId="MarginEdition">
    <w:name w:val="Margin Edition"/>
    <w:basedOn w:val="MarginNote"/>
    <w:rsid w:val="00430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F28"/>
    <w:rPr>
      <w:sz w:val="2"/>
      <w:szCs w:val="2"/>
    </w:rPr>
  </w:style>
  <w:style w:type="character" w:customStyle="1" w:styleId="Small">
    <w:name w:val="Small"/>
    <w:basedOn w:val="DefaultParagraphFont"/>
    <w:rsid w:val="00430F28"/>
    <w:rPr>
      <w:sz w:val="16"/>
    </w:rPr>
  </w:style>
  <w:style w:type="paragraph" w:customStyle="1" w:styleId="WideTable">
    <w:name w:val="Wide Table"/>
    <w:basedOn w:val="Normal"/>
    <w:rsid w:val="00430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F28"/>
  </w:style>
  <w:style w:type="paragraph" w:styleId="Quote">
    <w:name w:val="Quote"/>
    <w:basedOn w:val="Heading1"/>
    <w:link w:val="QuoteChar"/>
    <w:qFormat/>
    <w:rsid w:val="00430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F28"/>
    <w:pPr>
      <w:pageBreakBefore/>
    </w:pPr>
  </w:style>
  <w:style w:type="paragraph" w:customStyle="1" w:styleId="Border">
    <w:name w:val="Border"/>
    <w:basedOn w:val="Normal"/>
    <w:qFormat/>
    <w:rsid w:val="00430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F28"/>
    <w:rPr>
      <w:u w:val="single"/>
    </w:rPr>
  </w:style>
  <w:style w:type="character" w:customStyle="1" w:styleId="BoldandItalics">
    <w:name w:val="Bold and Italics"/>
    <w:qFormat/>
    <w:rsid w:val="00430F28"/>
    <w:rPr>
      <w:b/>
      <w:i/>
      <w:u w:val="none"/>
    </w:rPr>
  </w:style>
  <w:style w:type="paragraph" w:styleId="BalloonText">
    <w:name w:val="Balloon Text"/>
    <w:basedOn w:val="Normal"/>
    <w:link w:val="BalloonTextChar"/>
    <w:rsid w:val="00430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F28"/>
    <w:pPr>
      <w:spacing w:before="0" w:after="0"/>
    </w:pPr>
  </w:style>
  <w:style w:type="paragraph" w:customStyle="1" w:styleId="BodyTextBold">
    <w:name w:val="Body Text Bold"/>
    <w:basedOn w:val="BodyText"/>
    <w:qFormat/>
    <w:rsid w:val="00430F28"/>
    <w:rPr>
      <w:b/>
    </w:rPr>
  </w:style>
  <w:style w:type="character" w:styleId="Hyperlink">
    <w:name w:val="Hyperlink"/>
    <w:basedOn w:val="DefaultParagraphFont"/>
    <w:uiPriority w:val="99"/>
    <w:unhideWhenUsed/>
    <w:rsid w:val="00F47E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2646</Characters>
  <Application>Microsoft Office Word</Application>
  <DocSecurity>0</DocSecurity>
  <Lines>115</Lines>
  <Paragraphs>63</Paragraphs>
  <ScaleCrop>false</ScaleCrop>
  <Company>Author-it Software Corporation Ltd.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PUALAW003 Give evidence in a judicial or quasi-judicial setting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2022-12-16T01:52:00Z</dcterms:created>
  <dcterms:modified xsi:type="dcterms:W3CDTF">2022-12-16T01:52:00Z</dcterms:modified>
</cp:coreProperties>
</file>