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218" w:rsidP="005132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PUALAW003 Give evidence in a judicial or quasi-judicial setting</w:t>
      </w:r>
      <w:r>
        <w:fldChar w:fldCharType="end"/>
      </w:r>
    </w:p>
    <w:p w:rsidR="00513218" w:rsidP="00513218">
      <w:pPr>
        <w:pStyle w:val="Version"/>
        <w:sectPr w:rsidSect="00571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E74" w:rsidP="00571E74">
      <w:pPr>
        <w:pStyle w:val="SuperHeading"/>
      </w:pPr>
      <w:r w:rsidRPr="00571E74">
        <w:t>PUALAW003 Give evidence in a judicial or quasi-judicial setting</w:t>
      </w:r>
    </w:p>
    <w:p w:rsidR="00000000" w:rsidRPr="00571E74" w:rsidP="00571E74">
      <w:pPr>
        <w:pStyle w:val="Heading1"/>
      </w:pPr>
      <w:bookmarkStart w:id="1" w:name="O_1031210"/>
      <w:bookmarkEnd w:id="1"/>
      <w:r w:rsidRPr="00571E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Release 1.</w:t>
            </w:r>
            <w:r w:rsidRPr="00571E74">
              <w:t xml:space="preserve"> This is the first release of this unit of competency in the PUA Public Safety Training Package.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2" w:name="O_1031211"/>
      <w:bookmarkEnd w:id="2"/>
      <w:r w:rsidRPr="00571E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This unit of competency involves the skills and knowledge required to prepare and present evidence and follow up on the outcomes of proceedings.</w:t>
            </w:r>
          </w:p>
          <w:p w:rsidR="00000000" w:rsidRPr="00571E74" w:rsidP="00571E74">
            <w:pPr>
              <w:pStyle w:val="BodyText"/>
            </w:pPr>
            <w:r w:rsidRPr="00571E74">
              <w:t>The unit applies to personnel who may be called as a witness in relation to specific incidents, this may includ</w:t>
            </w:r>
            <w:r w:rsidRPr="00571E74">
              <w:t>e detailing incident events including operational and organisational procedures. It does not apply to an ongoing role in the presentation of evidence.</w:t>
            </w:r>
          </w:p>
          <w:p w:rsidR="00000000" w:rsidRPr="00571E74" w:rsidP="00571E74">
            <w:pPr>
              <w:pStyle w:val="BodyText"/>
            </w:pPr>
            <w:r w:rsidRPr="00571E74">
              <w:t xml:space="preserve">The fire sector is those sections of government departments, statutory authorities or organisations that </w:t>
            </w:r>
            <w:r w:rsidRPr="00571E74">
              <w:t>have responsibility under jurisdictional arrangements for the delivery of firefighting and fire management services.</w:t>
            </w:r>
          </w:p>
          <w:p w:rsidR="00000000" w:rsidRPr="00571E74" w:rsidP="00571E74">
            <w:pPr>
              <w:pStyle w:val="BodyText"/>
            </w:pPr>
            <w:r w:rsidRPr="00571E74">
              <w:t>No licensing, legislative or certification requirements apply to this unit at the time of publication.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3" w:name="O_1031212"/>
      <w:bookmarkEnd w:id="3"/>
      <w:r w:rsidRPr="00571E74">
        <w:t>Pre-requisite U</w:t>
      </w:r>
      <w:r w:rsidRPr="00571E74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Not applicable.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4" w:name="O_1031213"/>
      <w:bookmarkEnd w:id="4"/>
      <w:r w:rsidRPr="00571E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Fire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5" w:name="O_1031214"/>
      <w:bookmarkEnd w:id="5"/>
      <w:r w:rsidRPr="00571E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Fire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6" w:name="O_1031215"/>
      <w:bookmarkEnd w:id="6"/>
      <w:r w:rsidRPr="00571E7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PERFORMANCE CRITERIA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Performance criteria describe the performance needed to demonstrate achievement of the element.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Prepare for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Arrangements, role and involvement in proceedings are confirmed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 xml:space="preserve">Documentation including witness statements and exhibits </w:t>
            </w:r>
            <w:r w:rsidRPr="00571E74">
              <w:t xml:space="preserve">are prepared, in accordance with organisational policies and procedures and legislative requirements 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Present evidence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Proceedings and protocols relevant to the jurisdiction are adhered to throughout the proceedings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Rules of evidence relevant to the jurisdiction are adhered to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Evidence is presented in a clear, concise and articulate manner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Considered expert evidence is provided on request, in accordance with organisational policy and is consistent with q</w:t>
            </w:r>
            <w:r w:rsidRPr="00571E74">
              <w:t>ualifications and expertise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Follow up outcomes of proceedings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 xml:space="preserve">Outcomes of the proceedings are noted, filed and reports are completed, in accordance with organisational procedures </w:t>
            </w:r>
          </w:p>
        </w:tc>
      </w:tr>
      <w:tr w:rsidTr="00571E7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Required actions are implemented, in accordance with organisational policies and procedures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7" w:name="O_1031216"/>
      <w:bookmarkEnd w:id="7"/>
      <w:r w:rsidRPr="00571E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Foundation skills essential to performance are explicit in the performance criteria of this unit of competency.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8" w:name="O_1031217"/>
      <w:bookmarkEnd w:id="8"/>
      <w:r w:rsidRPr="00571E7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Range is restricted to essential operating conditions and any other variables essential to the work environment.</w:t>
            </w:r>
          </w:p>
          <w:p w:rsidR="00000000" w:rsidRPr="00571E74" w:rsidP="00571E74">
            <w:pPr>
              <w:pStyle w:val="BodyText"/>
            </w:pPr>
            <w:r w:rsidRPr="00571E74">
              <w:t>Non-essential conditions may be found in the Companion Volume Implementation Guide.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9" w:name="O_1031218"/>
      <w:bookmarkEnd w:id="9"/>
      <w:r w:rsidRPr="00571E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>This unit replaces and is equivalent to PUALAW003B Give evidence in a judicial or quasi-judicial setting.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10" w:name="O_1031225"/>
      <w:bookmarkEnd w:id="10"/>
      <w:r w:rsidRPr="00571E74">
        <w:t>Links</w:t>
      </w:r>
    </w:p>
    <w:p w:rsidR="00000000" w:rsidRPr="00571E74" w:rsidP="00513218">
      <w:pPr>
        <w:pStyle w:val="BodyText"/>
      </w:pPr>
      <w:r w:rsidRPr="00571E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D32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71E74" w:rsidP="00513218">
      <w:pPr>
        <w:pStyle w:val="BodyText"/>
        <w:sectPr w:rsidSect="00571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1E74" w:rsidP="00571E74">
      <w:pPr>
        <w:pStyle w:val="SuperHeading"/>
      </w:pPr>
      <w:r w:rsidRPr="00571E74">
        <w:t>Assessment Requirements for PUALAW003 Give evidence in a judicial or quasi-judicial setting</w:t>
      </w:r>
    </w:p>
    <w:p w:rsidR="00000000" w:rsidRPr="00571E74" w:rsidP="00571E74">
      <w:pPr>
        <w:pStyle w:val="Heading1"/>
      </w:pPr>
      <w:bookmarkStart w:id="11" w:name="O_1031220"/>
      <w:bookmarkEnd w:id="11"/>
      <w:r w:rsidRPr="00571E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rPr>
                <w:rStyle w:val="SpecialBold"/>
              </w:rPr>
              <w:t>Release 1.</w:t>
            </w:r>
            <w:r w:rsidRPr="00571E74">
              <w:t xml:space="preserve"> </w:t>
            </w:r>
            <w:r w:rsidRPr="00571E74">
              <w:t>This is the first release of this unit of competency in the PUA Public Safety Training Package.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12" w:name="O_1031221"/>
      <w:bookmarkEnd w:id="12"/>
      <w:r w:rsidRPr="00571E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ListBullet"/>
            </w:pPr>
            <w:r w:rsidRPr="00571E74">
              <w:t>applying Work, Health and Safety (WHS)/Occupational Health and S</w:t>
            </w:r>
            <w:r w:rsidRPr="00571E74">
              <w:t xml:space="preserve">afety (OHS) organisational requirements </w:t>
            </w:r>
          </w:p>
          <w:p w:rsidR="00000000" w:rsidRPr="00571E74" w:rsidP="00571E74">
            <w:pPr>
              <w:pStyle w:val="ListBullet"/>
            </w:pPr>
            <w:r w:rsidRPr="00571E74">
              <w:t>following up outcomes of proceedings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formulating and writing reports </w:t>
            </w:r>
          </w:p>
          <w:p w:rsidR="00000000" w:rsidRPr="00571E74" w:rsidP="00571E74">
            <w:pPr>
              <w:pStyle w:val="ListBullet"/>
            </w:pPr>
            <w:r w:rsidRPr="00571E74">
              <w:t>preparing and participating in judicial and quasi-judicial proceedings</w:t>
            </w:r>
          </w:p>
          <w:p w:rsidR="00000000" w:rsidRPr="00571E74" w:rsidP="00571E74">
            <w:pPr>
              <w:pStyle w:val="ListBullet"/>
            </w:pPr>
            <w:r w:rsidRPr="00571E74">
              <w:t>presenting evidence clearly and concisely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taking notes accurately 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13" w:name="O_1031222"/>
      <w:bookmarkEnd w:id="13"/>
      <w:r w:rsidRPr="00571E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E74">
            <w:pPr>
              <w:pStyle w:val="BodyText"/>
              <w:rPr>
                <w:lang w:val="en-NZ"/>
              </w:rPr>
            </w:pPr>
            <w:r w:rsidRPr="00571E74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ListBullet"/>
            </w:pPr>
            <w:r w:rsidRPr="00571E74">
              <w:t xml:space="preserve">communication techniques 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court protocols and procedures 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documentation and exhibits requirements </w:t>
            </w:r>
          </w:p>
          <w:p w:rsidR="00000000" w:rsidRPr="00571E74" w:rsidP="00571E74">
            <w:pPr>
              <w:pStyle w:val="ListBullet"/>
            </w:pPr>
            <w:r w:rsidRPr="00571E74">
              <w:t>fire investigation standards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organisational documentation, policies and procedures </w:t>
            </w:r>
          </w:p>
          <w:p w:rsidR="00000000" w:rsidRPr="00571E74" w:rsidP="00571E74">
            <w:pPr>
              <w:pStyle w:val="ListBullet"/>
            </w:pPr>
            <w:r w:rsidRPr="00571E74">
              <w:t>preparation, arrangements, roles and involvement in giving evidence at judicial or quasi-judicial s</w:t>
            </w:r>
            <w:r w:rsidRPr="00571E74">
              <w:t xml:space="preserve">ettings 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rules of court, judicial and quasi-judicial tribunals </w:t>
            </w:r>
          </w:p>
          <w:p w:rsidR="00000000" w:rsidRPr="00571E74" w:rsidP="00571E74">
            <w:pPr>
              <w:pStyle w:val="ListBullet"/>
            </w:pPr>
            <w:r w:rsidRPr="00571E74">
              <w:t>types of documentation and exhibits</w:t>
            </w:r>
          </w:p>
          <w:p w:rsidR="00000000" w:rsidRPr="00571E74" w:rsidP="00571E74">
            <w:pPr>
              <w:pStyle w:val="ListBullet"/>
            </w:pPr>
            <w:r w:rsidRPr="00571E74">
              <w:t>types of witnesses</w:t>
            </w:r>
          </w:p>
          <w:p w:rsidR="00000000" w:rsidRPr="00571E74" w:rsidP="00571E74">
            <w:pPr>
              <w:pStyle w:val="ListBullet"/>
            </w:pPr>
            <w:r w:rsidRPr="00571E74">
              <w:t>Work, Health and Safety (WHS)/Occupational Health and Safety (OHS) organisational requirements including risk mitigation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14" w:name="O_1031223"/>
      <w:bookmarkEnd w:id="14"/>
      <w:r w:rsidRPr="00571E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1E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E74" w:rsidP="00571E74">
            <w:pPr>
              <w:pStyle w:val="BodyText"/>
            </w:pPr>
            <w:r w:rsidRPr="00571E74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571E74" w:rsidP="00571E74">
            <w:pPr>
              <w:pStyle w:val="BodyText"/>
            </w:pPr>
            <w:r w:rsidRPr="00571E74">
              <w:t>As a minimum, assessment must sati</w:t>
            </w:r>
            <w:r w:rsidRPr="00571E74">
              <w:t>sfy applicable regulatory requirements, which include requirements in the Standards for Registered Training Organisations current at the time of assessment.</w:t>
            </w:r>
          </w:p>
          <w:p w:rsidR="00000000" w:rsidRPr="00571E74" w:rsidP="00571E74">
            <w:pPr>
              <w:pStyle w:val="BodyText"/>
            </w:pPr>
            <w:r w:rsidRPr="00571E74">
              <w:t>Assessment processes and techniques must be appropriate to the language, literacy and numeracy requ</w:t>
            </w:r>
            <w:r w:rsidRPr="00571E74">
              <w:t>irements of the work being performed and the needs of the candidate.</w:t>
            </w:r>
          </w:p>
          <w:p w:rsidR="00000000" w:rsidRPr="00571E74" w:rsidP="00571E74">
            <w:pPr>
              <w:pStyle w:val="BodyText"/>
            </w:pPr>
            <w:r w:rsidRPr="00571E74">
              <w:t>Assessment must occur in workplace operational situations. Where this is not appropriate, assessment must occur in industry approved simulated workplace operational situations that reflec</w:t>
            </w:r>
            <w:r w:rsidRPr="00571E74">
              <w:t>t workplace conditions.</w:t>
            </w:r>
          </w:p>
          <w:p w:rsidR="00000000" w:rsidRPr="00571E74" w:rsidP="00571E74">
            <w:pPr>
              <w:pStyle w:val="BodyText"/>
            </w:pPr>
            <w:r w:rsidRPr="00571E74">
              <w:t>Resources for assessment must include access to</w:t>
            </w:r>
          </w:p>
          <w:p w:rsidR="00000000" w:rsidRPr="00571E74" w:rsidP="00571E74">
            <w:pPr>
              <w:pStyle w:val="ListBullet"/>
            </w:pPr>
            <w:r w:rsidRPr="00571E74">
              <w:t>a range of relevant exercises, case studies and/or simulations</w:t>
            </w:r>
          </w:p>
          <w:p w:rsidR="00000000" w:rsidRPr="00571E74" w:rsidP="00571E74">
            <w:pPr>
              <w:pStyle w:val="ListBullet"/>
            </w:pPr>
            <w:r w:rsidRPr="00571E74">
              <w:t>relevant and appropriate materials, equipment, tools and personal protective clothing and equipment currently used in in</w:t>
            </w:r>
            <w:r w:rsidRPr="00571E74">
              <w:t xml:space="preserve">dustry </w:t>
            </w:r>
          </w:p>
          <w:p w:rsidR="00000000" w:rsidRPr="00571E74" w:rsidP="00571E74">
            <w:pPr>
              <w:pStyle w:val="ListBullet"/>
            </w:pPr>
            <w:r w:rsidRPr="00571E74">
              <w:t xml:space="preserve">applicable documentation including organisational procedures, industry standards, legislation, equipment specifications, regulations, codes of practice and operation manuals. </w:t>
            </w:r>
          </w:p>
        </w:tc>
      </w:tr>
    </w:tbl>
    <w:p w:rsidR="00000000" w:rsidRPr="00571E74" w:rsidP="00571E74">
      <w:pPr>
        <w:pStyle w:val="NoPaddingFontSize1"/>
      </w:pPr>
    </w:p>
    <w:p w:rsidR="00000000" w:rsidRPr="00571E74" w:rsidP="00571E74">
      <w:pPr>
        <w:pStyle w:val="AllowPageBreak"/>
      </w:pPr>
    </w:p>
    <w:p w:rsidR="00000000" w:rsidRPr="00571E74" w:rsidP="00571E74">
      <w:pPr>
        <w:pStyle w:val="Heading1"/>
      </w:pPr>
      <w:bookmarkStart w:id="15" w:name="O_1031226"/>
      <w:bookmarkEnd w:id="15"/>
      <w:r w:rsidRPr="00571E74">
        <w:t>Links</w:t>
      </w:r>
    </w:p>
    <w:p w:rsidR="00000000" w:rsidRPr="00571E74" w:rsidP="00513218">
      <w:pPr>
        <w:pStyle w:val="BodyText"/>
      </w:pPr>
      <w:r w:rsidRPr="00571E74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D325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571E74" w:rsidP="00571E74"/>
    <w:sectPr w:rsidSect="00571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 w:rsidRPr="00513218" w:rsidP="005132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18" w:rsidP="00571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218" w:rsidP="00571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3218" w:rsidP="00571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 w:rsidP="00571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3218">
      <w:t>Approved</w:t>
    </w:r>
    <w:r w:rsidR="005132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321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3218">
      <w:rPr>
        <w:noProof/>
      </w:rPr>
      <w:t>4</w:t>
    </w:r>
    <w:r>
      <w:rPr>
        <w:noProof/>
      </w:rPr>
      <w:fldChar w:fldCharType="end"/>
    </w:r>
  </w:p>
  <w:p w:rsidR="00571E74" w:rsidP="00571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32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3218">
      <w:t>Public Skills Australia</w:t>
    </w:r>
    <w:r w:rsidR="00513218">
      <w:fldChar w:fldCharType="end"/>
    </w:r>
  </w:p>
  <w:p w:rsidR="00571E74" w:rsidP="00571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E74" w:rsidRPr="00513218" w:rsidP="005132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218" w:rsidRPr="002D2AF8" w:rsidP="00571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PUALAW003 Give evidence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3218" w:rsidP="00571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E74" w:rsidRPr="002D2AF8" w:rsidP="00571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3218">
      <w:t>PUALAW003 Give evidence in a judicial or quasi-judicial setting</w:t>
    </w:r>
    <w:r w:rsidR="005132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3218">
      <w:rPr>
        <w:noProof/>
      </w:rPr>
      <w:t>2 March 2025</w:t>
    </w:r>
    <w:r>
      <w:fldChar w:fldCharType="end"/>
    </w:r>
  </w:p>
  <w:p w:rsidR="00571E74" w:rsidP="00571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72E7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743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E74"/>
  </w:style>
  <w:style w:type="character" w:customStyle="1" w:styleId="Heading1Char">
    <w:name w:val="Heading 1 Char"/>
    <w:basedOn w:val="DefaultParagraphFont"/>
    <w:link w:val="Heading1"/>
    <w:rsid w:val="00571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E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E74"/>
    <w:rPr>
      <w:b/>
      <w:spacing w:val="0"/>
    </w:rPr>
  </w:style>
  <w:style w:type="paragraph" w:customStyle="1" w:styleId="SuperHeading">
    <w:name w:val="SuperHeading"/>
    <w:basedOn w:val="Normal"/>
    <w:rsid w:val="00571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1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E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E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E74"/>
    <w:rPr>
      <w:i/>
    </w:rPr>
  </w:style>
  <w:style w:type="paragraph" w:styleId="Caption">
    <w:name w:val="caption"/>
    <w:basedOn w:val="BodyText"/>
    <w:next w:val="Normal"/>
    <w:qFormat/>
    <w:rsid w:val="00571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E74"/>
  </w:style>
  <w:style w:type="paragraph" w:styleId="TableofFigures">
    <w:name w:val="table of figures"/>
    <w:basedOn w:val="Normal"/>
    <w:next w:val="Normal"/>
    <w:semiHidden/>
    <w:rsid w:val="00571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E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1E74"/>
    <w:rPr>
      <w:rFonts w:ascii="Wingdings" w:hAnsi="Wingdings"/>
    </w:rPr>
  </w:style>
  <w:style w:type="paragraph" w:customStyle="1" w:styleId="TableHeading">
    <w:name w:val="Table Heading"/>
    <w:basedOn w:val="HeadingBase"/>
    <w:rsid w:val="00571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E74"/>
    <w:rPr>
      <w:color w:val="0033CC"/>
      <w:u w:val="none"/>
    </w:rPr>
  </w:style>
  <w:style w:type="paragraph" w:customStyle="1" w:styleId="BodyTextRight">
    <w:name w:val="Body Text Right"/>
    <w:basedOn w:val="BodyText"/>
    <w:rsid w:val="00571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E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E74"/>
    <w:rPr>
      <w:sz w:val="32"/>
    </w:rPr>
  </w:style>
  <w:style w:type="paragraph" w:customStyle="1" w:styleId="HeadingProcedure">
    <w:name w:val="Heading Procedure"/>
    <w:basedOn w:val="HeadingBase"/>
    <w:next w:val="Normal"/>
    <w:rsid w:val="00571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E74"/>
    <w:pPr>
      <w:spacing w:before="60" w:after="60"/>
    </w:pPr>
  </w:style>
  <w:style w:type="paragraph" w:styleId="ListContinue">
    <w:name w:val="List Continue"/>
    <w:basedOn w:val="List"/>
    <w:rsid w:val="00571E74"/>
    <w:pPr>
      <w:ind w:firstLine="0"/>
    </w:pPr>
  </w:style>
  <w:style w:type="paragraph" w:customStyle="1" w:styleId="ListNote">
    <w:name w:val="List Note"/>
    <w:basedOn w:val="List"/>
    <w:rsid w:val="00571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E74"/>
    <w:rPr>
      <w:rFonts w:ascii="Courier New" w:hAnsi="Courier New"/>
    </w:rPr>
  </w:style>
  <w:style w:type="paragraph" w:customStyle="1" w:styleId="NoteBullet">
    <w:name w:val="Note Bullet"/>
    <w:basedOn w:val="Note"/>
    <w:rsid w:val="00571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E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1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E74"/>
    <w:rPr>
      <w:b/>
      <w:smallCaps/>
    </w:rPr>
  </w:style>
  <w:style w:type="paragraph" w:customStyle="1" w:styleId="TableListNumber">
    <w:name w:val="Table List Number"/>
    <w:basedOn w:val="ListNumber"/>
    <w:rsid w:val="00571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E74"/>
    <w:pPr>
      <w:numPr>
        <w:numId w:val="8"/>
      </w:numPr>
    </w:pPr>
  </w:style>
  <w:style w:type="paragraph" w:customStyle="1" w:styleId="ListAlpha2">
    <w:name w:val="List Alpha 2"/>
    <w:basedOn w:val="List2"/>
    <w:rsid w:val="00571E74"/>
    <w:pPr>
      <w:numPr>
        <w:numId w:val="7"/>
      </w:numPr>
    </w:pPr>
  </w:style>
  <w:style w:type="paragraph" w:styleId="List2">
    <w:name w:val="List 2"/>
    <w:basedOn w:val="BodyText"/>
    <w:rsid w:val="00571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E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E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1E74"/>
    <w:pPr>
      <w:numPr>
        <w:numId w:val="3"/>
      </w:numPr>
    </w:pPr>
  </w:style>
  <w:style w:type="paragraph" w:styleId="ListContinue2">
    <w:name w:val="List Continue 2"/>
    <w:basedOn w:val="List2"/>
    <w:rsid w:val="00571E74"/>
    <w:pPr>
      <w:ind w:firstLine="0"/>
    </w:pPr>
  </w:style>
  <w:style w:type="paragraph" w:styleId="ListContinue3">
    <w:name w:val="List Continue 3"/>
    <w:basedOn w:val="List3"/>
    <w:rsid w:val="00571E74"/>
    <w:pPr>
      <w:ind w:left="1021" w:firstLine="0"/>
    </w:pPr>
  </w:style>
  <w:style w:type="paragraph" w:styleId="ListContinue4">
    <w:name w:val="List Continue 4"/>
    <w:basedOn w:val="List4"/>
    <w:rsid w:val="00571E74"/>
    <w:pPr>
      <w:ind w:firstLine="0"/>
    </w:pPr>
  </w:style>
  <w:style w:type="paragraph" w:styleId="ListContinue5">
    <w:name w:val="List Continue 5"/>
    <w:basedOn w:val="List5"/>
    <w:rsid w:val="00571E74"/>
    <w:pPr>
      <w:ind w:firstLine="0"/>
    </w:pPr>
  </w:style>
  <w:style w:type="paragraph" w:styleId="ListNumber3">
    <w:name w:val="List Number 3"/>
    <w:basedOn w:val="List3"/>
    <w:rsid w:val="00571E74"/>
    <w:pPr>
      <w:numPr>
        <w:numId w:val="4"/>
      </w:numPr>
    </w:pPr>
  </w:style>
  <w:style w:type="paragraph" w:styleId="ListNumber4">
    <w:name w:val="List Number 4"/>
    <w:basedOn w:val="List4"/>
    <w:rsid w:val="00571E74"/>
    <w:pPr>
      <w:numPr>
        <w:numId w:val="5"/>
      </w:numPr>
    </w:pPr>
  </w:style>
  <w:style w:type="paragraph" w:styleId="ListNumber5">
    <w:name w:val="List Number 5"/>
    <w:basedOn w:val="List5"/>
    <w:rsid w:val="00571E74"/>
    <w:pPr>
      <w:numPr>
        <w:numId w:val="6"/>
      </w:numPr>
    </w:pPr>
  </w:style>
  <w:style w:type="paragraph" w:styleId="BlockText">
    <w:name w:val="Block Text"/>
    <w:basedOn w:val="Normal"/>
    <w:rsid w:val="00571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E74"/>
    <w:rPr>
      <w:sz w:val="16"/>
      <w:vertAlign w:val="superscript"/>
    </w:rPr>
  </w:style>
  <w:style w:type="character" w:customStyle="1" w:styleId="Symbols">
    <w:name w:val="Symbols"/>
    <w:basedOn w:val="DefaultParagraphFont"/>
    <w:rsid w:val="00571E74"/>
    <w:rPr>
      <w:rFonts w:ascii="Symbol" w:hAnsi="Symbol"/>
    </w:rPr>
  </w:style>
  <w:style w:type="character" w:customStyle="1" w:styleId="MenuOptions">
    <w:name w:val="Menu Options"/>
    <w:basedOn w:val="DefaultParagraphFont"/>
    <w:rsid w:val="00571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E74"/>
    <w:rPr>
      <w:b/>
    </w:rPr>
  </w:style>
  <w:style w:type="character" w:customStyle="1" w:styleId="Underlined">
    <w:name w:val="Underlined"/>
    <w:basedOn w:val="DefaultParagraphFont"/>
    <w:rsid w:val="00571E74"/>
    <w:rPr>
      <w:u w:val="single"/>
    </w:rPr>
  </w:style>
  <w:style w:type="paragraph" w:customStyle="1" w:styleId="TableBodyTextRight">
    <w:name w:val="Table Body Text Right"/>
    <w:basedOn w:val="TableBodyText"/>
    <w:rsid w:val="00571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E74"/>
    <w:rPr>
      <w:sz w:val="18"/>
    </w:rPr>
  </w:style>
  <w:style w:type="paragraph" w:customStyle="1" w:styleId="BodySmallRight">
    <w:name w:val="Body Small Right"/>
    <w:basedOn w:val="BodyTextRight"/>
    <w:rsid w:val="00571E74"/>
    <w:rPr>
      <w:sz w:val="18"/>
      <w:szCs w:val="18"/>
    </w:rPr>
  </w:style>
  <w:style w:type="paragraph" w:customStyle="1" w:styleId="MarginEdition">
    <w:name w:val="Margin Edition"/>
    <w:basedOn w:val="MarginNote"/>
    <w:rsid w:val="00571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E74"/>
    <w:rPr>
      <w:sz w:val="2"/>
      <w:szCs w:val="2"/>
    </w:rPr>
  </w:style>
  <w:style w:type="character" w:customStyle="1" w:styleId="Small">
    <w:name w:val="Small"/>
    <w:basedOn w:val="DefaultParagraphFont"/>
    <w:rsid w:val="00571E74"/>
    <w:rPr>
      <w:sz w:val="16"/>
    </w:rPr>
  </w:style>
  <w:style w:type="paragraph" w:customStyle="1" w:styleId="WideTable">
    <w:name w:val="Wide Table"/>
    <w:basedOn w:val="Normal"/>
    <w:rsid w:val="00571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E74"/>
  </w:style>
  <w:style w:type="paragraph" w:styleId="Quote">
    <w:name w:val="Quote"/>
    <w:basedOn w:val="Heading1"/>
    <w:link w:val="QuoteChar"/>
    <w:qFormat/>
    <w:rsid w:val="00571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E74"/>
    <w:pPr>
      <w:pageBreakBefore/>
    </w:pPr>
  </w:style>
  <w:style w:type="paragraph" w:customStyle="1" w:styleId="Border">
    <w:name w:val="Border"/>
    <w:basedOn w:val="Normal"/>
    <w:qFormat/>
    <w:rsid w:val="00571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E74"/>
    <w:rPr>
      <w:u w:val="single"/>
    </w:rPr>
  </w:style>
  <w:style w:type="character" w:customStyle="1" w:styleId="BoldandItalics">
    <w:name w:val="Bold and Italics"/>
    <w:qFormat/>
    <w:rsid w:val="00571E74"/>
    <w:rPr>
      <w:b/>
      <w:i/>
      <w:u w:val="none"/>
    </w:rPr>
  </w:style>
  <w:style w:type="paragraph" w:styleId="BalloonText">
    <w:name w:val="Balloon Text"/>
    <w:basedOn w:val="Normal"/>
    <w:link w:val="BalloonTextChar"/>
    <w:rsid w:val="00571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E74"/>
    <w:pPr>
      <w:spacing w:before="0" w:after="0"/>
    </w:pPr>
  </w:style>
  <w:style w:type="paragraph" w:customStyle="1" w:styleId="BodyTextBold">
    <w:name w:val="Body Text Bold"/>
    <w:basedOn w:val="BodyText"/>
    <w:qFormat/>
    <w:rsid w:val="00571E74"/>
    <w:rPr>
      <w:b/>
    </w:rPr>
  </w:style>
  <w:style w:type="character" w:styleId="Hyperlink">
    <w:name w:val="Hyperlink"/>
    <w:basedOn w:val="DefaultParagraphFont"/>
    <w:uiPriority w:val="99"/>
    <w:unhideWhenUsed/>
    <w:rsid w:val="005132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5222</Characters>
  <Application>Microsoft Office Word</Application>
  <DocSecurity>0</DocSecurity>
  <Lines>180</Lines>
  <Paragraphs>103</Paragraphs>
  <ScaleCrop>false</ScaleCrop>
  <Company>Author-it Software Corporation Ltd.</Company>
  <LinksUpToDate>false</LinksUpToDate>
  <CharactersWithSpaces>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PUALAW003 Give evidence in a judicial or quasi-judicial setting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