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F29" w:rsidP="009F1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PUALAW003 Give evidence in a judicial or quasi-judicial setting</w:t>
      </w:r>
      <w:r>
        <w:fldChar w:fldCharType="end"/>
      </w:r>
    </w:p>
    <w:p w:rsidR="009F1F29" w:rsidP="009F1F29">
      <w:pPr>
        <w:pStyle w:val="Version"/>
        <w:sectPr w:rsidSect="004529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98D" w:rsidP="0045298D">
      <w:pPr>
        <w:pStyle w:val="SuperHeading"/>
      </w:pPr>
      <w:r w:rsidRPr="0045298D">
        <w:t>Assessment Requirements for PUALAW003 Give evidence in a judicial or quasi-judicial setting</w:t>
      </w:r>
    </w:p>
    <w:p w:rsidR="00000000" w:rsidRPr="0045298D" w:rsidP="0045298D">
      <w:pPr>
        <w:pStyle w:val="Heading1"/>
      </w:pPr>
      <w:bookmarkStart w:id="1" w:name="O_1031220"/>
      <w:bookmarkEnd w:id="1"/>
      <w:r w:rsidRPr="004529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8D" w:rsidP="0045298D">
            <w:pPr>
              <w:pStyle w:val="BodyText"/>
            </w:pPr>
            <w:r w:rsidRPr="0045298D">
              <w:rPr>
                <w:rStyle w:val="SpecialBold"/>
              </w:rPr>
              <w:t>Release 1.</w:t>
            </w:r>
            <w:r w:rsidRPr="0045298D">
              <w:t xml:space="preserve"> This is the first release of this unit of competency in the PUA Public Safety Training Package.</w:t>
            </w:r>
          </w:p>
        </w:tc>
      </w:tr>
    </w:tbl>
    <w:p w:rsidR="00000000" w:rsidRPr="0045298D" w:rsidP="0045298D">
      <w:pPr>
        <w:pStyle w:val="NoPaddingFontSize1"/>
      </w:pPr>
    </w:p>
    <w:p w:rsidR="00000000" w:rsidRPr="0045298D" w:rsidP="0045298D">
      <w:pPr>
        <w:pStyle w:val="AllowPageBreak"/>
      </w:pPr>
    </w:p>
    <w:p w:rsidR="00000000" w:rsidRPr="0045298D" w:rsidP="0045298D">
      <w:pPr>
        <w:pStyle w:val="Heading1"/>
      </w:pPr>
      <w:bookmarkStart w:id="2" w:name="O_1031221"/>
      <w:bookmarkEnd w:id="2"/>
      <w:r w:rsidRPr="004529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8D">
            <w:pPr>
              <w:pStyle w:val="BodyText"/>
              <w:rPr>
                <w:lang w:val="en-NZ"/>
              </w:rPr>
            </w:pPr>
            <w:r w:rsidRPr="0045298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452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8D" w:rsidP="0045298D">
            <w:pPr>
              <w:pStyle w:val="ListBullet"/>
            </w:pPr>
            <w:r w:rsidRPr="0045298D">
              <w:t>applying Work, Health and Safety (</w:t>
            </w:r>
            <w:r w:rsidRPr="0045298D">
              <w:t xml:space="preserve">WHS)/Occupational Health and Safety (OHS) organisational requirements </w:t>
            </w:r>
          </w:p>
          <w:p w:rsidR="00000000" w:rsidRPr="0045298D" w:rsidP="0045298D">
            <w:pPr>
              <w:pStyle w:val="ListBullet"/>
            </w:pPr>
            <w:r w:rsidRPr="0045298D">
              <w:t>following up outcomes of proceedings</w:t>
            </w:r>
          </w:p>
          <w:p w:rsidR="00000000" w:rsidRPr="0045298D" w:rsidP="0045298D">
            <w:pPr>
              <w:pStyle w:val="ListBullet"/>
            </w:pPr>
            <w:r w:rsidRPr="0045298D">
              <w:t xml:space="preserve">formulating and writing reports </w:t>
            </w:r>
          </w:p>
          <w:p w:rsidR="00000000" w:rsidRPr="0045298D" w:rsidP="0045298D">
            <w:pPr>
              <w:pStyle w:val="ListBullet"/>
            </w:pPr>
            <w:r w:rsidRPr="0045298D">
              <w:t>preparing and participating in judicial and quasi-judicial proceedings</w:t>
            </w:r>
          </w:p>
          <w:p w:rsidR="00000000" w:rsidRPr="0045298D" w:rsidP="0045298D">
            <w:pPr>
              <w:pStyle w:val="ListBullet"/>
            </w:pPr>
            <w:r w:rsidRPr="0045298D">
              <w:t>presenting evidence clearly and concisely</w:t>
            </w:r>
          </w:p>
          <w:p w:rsidR="00000000" w:rsidRPr="0045298D" w:rsidP="0045298D">
            <w:pPr>
              <w:pStyle w:val="ListBullet"/>
            </w:pPr>
            <w:r w:rsidRPr="0045298D">
              <w:t>ta</w:t>
            </w:r>
            <w:r w:rsidRPr="0045298D">
              <w:t xml:space="preserve">king notes accurately </w:t>
            </w:r>
          </w:p>
        </w:tc>
      </w:tr>
    </w:tbl>
    <w:p w:rsidR="00000000" w:rsidRPr="0045298D" w:rsidP="0045298D">
      <w:pPr>
        <w:pStyle w:val="NoPaddingFontSize1"/>
      </w:pPr>
    </w:p>
    <w:p w:rsidR="00000000" w:rsidRPr="0045298D" w:rsidP="0045298D">
      <w:pPr>
        <w:pStyle w:val="AllowPageBreak"/>
      </w:pPr>
    </w:p>
    <w:p w:rsidR="00000000" w:rsidRPr="0045298D" w:rsidP="0045298D">
      <w:pPr>
        <w:pStyle w:val="Heading1"/>
      </w:pPr>
      <w:bookmarkStart w:id="3" w:name="O_1031222"/>
      <w:bookmarkEnd w:id="3"/>
      <w:r w:rsidRPr="004529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8D">
            <w:pPr>
              <w:pStyle w:val="BodyText"/>
              <w:rPr>
                <w:lang w:val="en-NZ"/>
              </w:rPr>
            </w:pPr>
            <w:r w:rsidRPr="0045298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52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8D" w:rsidP="0045298D">
            <w:pPr>
              <w:pStyle w:val="ListBullet"/>
            </w:pPr>
            <w:r w:rsidRPr="0045298D">
              <w:t xml:space="preserve">communication techniques </w:t>
            </w:r>
          </w:p>
          <w:p w:rsidR="00000000" w:rsidRPr="0045298D" w:rsidP="0045298D">
            <w:pPr>
              <w:pStyle w:val="ListBullet"/>
            </w:pPr>
            <w:r w:rsidRPr="0045298D">
              <w:t xml:space="preserve">court protocols and procedures </w:t>
            </w:r>
          </w:p>
          <w:p w:rsidR="00000000" w:rsidRPr="0045298D" w:rsidP="0045298D">
            <w:pPr>
              <w:pStyle w:val="ListBullet"/>
            </w:pPr>
            <w:r w:rsidRPr="0045298D">
              <w:t xml:space="preserve">documentation and exhibits requirements </w:t>
            </w:r>
          </w:p>
          <w:p w:rsidR="00000000" w:rsidRPr="0045298D" w:rsidP="0045298D">
            <w:pPr>
              <w:pStyle w:val="ListBullet"/>
            </w:pPr>
            <w:r w:rsidRPr="0045298D">
              <w:t>fire investigation standards</w:t>
            </w:r>
          </w:p>
          <w:p w:rsidR="00000000" w:rsidRPr="0045298D" w:rsidP="0045298D">
            <w:pPr>
              <w:pStyle w:val="ListBullet"/>
            </w:pPr>
            <w:r w:rsidRPr="0045298D">
              <w:t xml:space="preserve">organisational documentation, policies and procedures </w:t>
            </w:r>
          </w:p>
          <w:p w:rsidR="00000000" w:rsidRPr="0045298D" w:rsidP="0045298D">
            <w:pPr>
              <w:pStyle w:val="ListBullet"/>
            </w:pPr>
            <w:r w:rsidRPr="0045298D">
              <w:t>preparation, arrangements, roles and involvement in giving evidence at ju</w:t>
            </w:r>
            <w:r w:rsidRPr="0045298D">
              <w:t xml:space="preserve">dicial or quasi-judicial settings </w:t>
            </w:r>
          </w:p>
          <w:p w:rsidR="00000000" w:rsidRPr="0045298D" w:rsidP="0045298D">
            <w:pPr>
              <w:pStyle w:val="ListBullet"/>
            </w:pPr>
            <w:r w:rsidRPr="0045298D">
              <w:t xml:space="preserve">rules of court, judicial and quasi-judicial tribunals </w:t>
            </w:r>
          </w:p>
          <w:p w:rsidR="00000000" w:rsidRPr="0045298D" w:rsidP="0045298D">
            <w:pPr>
              <w:pStyle w:val="ListBullet"/>
            </w:pPr>
            <w:r w:rsidRPr="0045298D">
              <w:t>types of documentation and exhibits</w:t>
            </w:r>
          </w:p>
          <w:p w:rsidR="00000000" w:rsidRPr="0045298D" w:rsidP="0045298D">
            <w:pPr>
              <w:pStyle w:val="ListBullet"/>
            </w:pPr>
            <w:r w:rsidRPr="0045298D">
              <w:t>types of witnesses</w:t>
            </w:r>
          </w:p>
          <w:p w:rsidR="00000000" w:rsidRPr="0045298D" w:rsidP="0045298D">
            <w:pPr>
              <w:pStyle w:val="ListBullet"/>
            </w:pPr>
            <w:r w:rsidRPr="0045298D">
              <w:t>Work, Health and Safety (WHS)/Occupational Health and Safety (OHS) organisational requirements including risk mitigation</w:t>
            </w:r>
          </w:p>
        </w:tc>
      </w:tr>
    </w:tbl>
    <w:p w:rsidR="00000000" w:rsidRPr="0045298D" w:rsidP="0045298D">
      <w:pPr>
        <w:pStyle w:val="NoPaddingFontSize1"/>
      </w:pPr>
    </w:p>
    <w:p w:rsidR="00000000" w:rsidRPr="0045298D" w:rsidP="0045298D">
      <w:pPr>
        <w:pStyle w:val="AllowPageBreak"/>
      </w:pPr>
    </w:p>
    <w:p w:rsidR="00000000" w:rsidRPr="0045298D" w:rsidP="0045298D">
      <w:pPr>
        <w:pStyle w:val="Heading1"/>
      </w:pPr>
      <w:bookmarkStart w:id="4" w:name="O_1031223"/>
      <w:bookmarkEnd w:id="4"/>
      <w:r w:rsidRPr="004529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8D" w:rsidP="0045298D">
            <w:pPr>
              <w:pStyle w:val="BodyText"/>
            </w:pPr>
            <w:r w:rsidRPr="0045298D">
              <w:t>As a minimum, assessors must satisfy applicable regulatory requirements, which include requi</w:t>
            </w:r>
            <w:r w:rsidRPr="0045298D">
              <w:t xml:space="preserve">rements in the Standards for Registered Training Organisations current at the time of </w:t>
            </w:r>
            <w:r w:rsidRPr="0045298D">
              <w:t xml:space="preserve">assessment. </w:t>
            </w:r>
          </w:p>
          <w:p w:rsidR="00000000" w:rsidRPr="0045298D" w:rsidP="0045298D">
            <w:pPr>
              <w:pStyle w:val="BodyText"/>
            </w:pPr>
            <w:r w:rsidRPr="0045298D">
              <w:t>As a minimum, assessment must satisfy applicable regulatory requirements, which include requirements in the Standards for Registered Training Organisations c</w:t>
            </w:r>
            <w:r w:rsidRPr="0045298D">
              <w:t>urrent at the time of assessment.</w:t>
            </w:r>
          </w:p>
          <w:p w:rsidR="00000000" w:rsidRPr="0045298D" w:rsidP="0045298D">
            <w:pPr>
              <w:pStyle w:val="BodyText"/>
            </w:pPr>
            <w:r w:rsidRPr="004529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5298D" w:rsidP="0045298D">
            <w:pPr>
              <w:pStyle w:val="BodyText"/>
            </w:pPr>
            <w:r w:rsidRPr="0045298D">
              <w:t>Assessment must occur in workplace operational situati</w:t>
            </w:r>
            <w:r w:rsidRPr="0045298D">
              <w:t>ons. Where this is not appropriate, assessment must occur in industry approved simulated workplace operational situations that reflect workplace conditions.</w:t>
            </w:r>
          </w:p>
          <w:p w:rsidR="00000000" w:rsidRPr="0045298D" w:rsidP="0045298D">
            <w:pPr>
              <w:pStyle w:val="BodyText"/>
            </w:pPr>
            <w:r w:rsidRPr="0045298D">
              <w:t>Resources for assessment must include access to</w:t>
            </w:r>
          </w:p>
          <w:p w:rsidR="00000000" w:rsidRPr="0045298D" w:rsidP="0045298D">
            <w:pPr>
              <w:pStyle w:val="ListBullet"/>
            </w:pPr>
            <w:r w:rsidRPr="0045298D">
              <w:t>a range of relevant exercises, case studies and/or</w:t>
            </w:r>
            <w:r w:rsidRPr="0045298D">
              <w:t xml:space="preserve"> simulations</w:t>
            </w:r>
          </w:p>
          <w:p w:rsidR="00000000" w:rsidRPr="0045298D" w:rsidP="0045298D">
            <w:pPr>
              <w:pStyle w:val="ListBullet"/>
            </w:pPr>
            <w:r w:rsidRPr="0045298D">
              <w:t xml:space="preserve">relevant and appropriate materials, equipment, tools and personal protective clothing and equipment currently used in industry </w:t>
            </w:r>
          </w:p>
          <w:p w:rsidR="00000000" w:rsidRPr="0045298D" w:rsidP="0045298D">
            <w:pPr>
              <w:pStyle w:val="ListBullet"/>
            </w:pPr>
            <w:r w:rsidRPr="0045298D">
              <w:t>applicable documentation including organisational procedures, industry standards, legislation, equipment specificat</w:t>
            </w:r>
            <w:r w:rsidRPr="0045298D">
              <w:t xml:space="preserve">ions, regulations, codes of practice and operation manuals. </w:t>
            </w:r>
          </w:p>
        </w:tc>
      </w:tr>
    </w:tbl>
    <w:p w:rsidR="00000000" w:rsidRPr="0045298D" w:rsidP="0045298D">
      <w:pPr>
        <w:pStyle w:val="NoPaddingFontSize1"/>
      </w:pPr>
    </w:p>
    <w:p w:rsidR="00000000" w:rsidRPr="0045298D" w:rsidP="0045298D">
      <w:pPr>
        <w:pStyle w:val="AllowPageBreak"/>
      </w:pPr>
    </w:p>
    <w:p w:rsidR="00000000" w:rsidRPr="0045298D" w:rsidP="0045298D">
      <w:pPr>
        <w:pStyle w:val="Heading1"/>
      </w:pPr>
      <w:bookmarkStart w:id="5" w:name="O_1031226"/>
      <w:bookmarkEnd w:id="5"/>
      <w:r w:rsidRPr="0045298D">
        <w:t>Links</w:t>
      </w:r>
    </w:p>
    <w:p w:rsidR="00000000" w:rsidRPr="0045298D" w:rsidP="009F1F29">
      <w:pPr>
        <w:pStyle w:val="BodyText"/>
      </w:pPr>
      <w:r w:rsidRPr="0045298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815F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5298D" w:rsidP="0045298D"/>
    <w:sectPr w:rsidSect="004529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D" w:rsidRPr="009F1F29" w:rsidP="009F1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29" w:rsidP="00452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F29" w:rsidP="00452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1F29" w:rsidP="004529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98D" w:rsidRPr="009F1F29" w:rsidP="009F1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29" w:rsidRPr="002D2AF8" w:rsidP="00452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PUALAW003 Give evidence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F1F29" w:rsidP="004529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7EC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C80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9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9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9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9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9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9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9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9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9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9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98D"/>
  </w:style>
  <w:style w:type="character" w:customStyle="1" w:styleId="Heading1Char">
    <w:name w:val="Heading 1 Char"/>
    <w:basedOn w:val="DefaultParagraphFont"/>
    <w:link w:val="Heading1"/>
    <w:rsid w:val="004529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9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9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9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98D"/>
    <w:rPr>
      <w:b/>
      <w:spacing w:val="0"/>
    </w:rPr>
  </w:style>
  <w:style w:type="paragraph" w:customStyle="1" w:styleId="SuperHeading">
    <w:name w:val="SuperHeading"/>
    <w:basedOn w:val="Normal"/>
    <w:rsid w:val="004529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9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9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9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9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9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9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9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9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9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9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9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9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9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9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9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9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9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9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9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9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9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9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9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9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9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9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9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9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9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9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98D"/>
    <w:rPr>
      <w:i/>
    </w:rPr>
  </w:style>
  <w:style w:type="paragraph" w:styleId="Caption">
    <w:name w:val="caption"/>
    <w:basedOn w:val="BodyText"/>
    <w:next w:val="Normal"/>
    <w:qFormat/>
    <w:rsid w:val="004529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9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9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98D"/>
  </w:style>
  <w:style w:type="paragraph" w:styleId="TableofFigures">
    <w:name w:val="table of figures"/>
    <w:basedOn w:val="Normal"/>
    <w:next w:val="Normal"/>
    <w:semiHidden/>
    <w:rsid w:val="004529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9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98D"/>
    <w:rPr>
      <w:rFonts w:ascii="Wingdings" w:hAnsi="Wingdings"/>
    </w:rPr>
  </w:style>
  <w:style w:type="paragraph" w:customStyle="1" w:styleId="TableHeading">
    <w:name w:val="Table Heading"/>
    <w:basedOn w:val="HeadingBase"/>
    <w:rsid w:val="004529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98D"/>
    <w:rPr>
      <w:color w:val="0033CC"/>
      <w:u w:val="none"/>
    </w:rPr>
  </w:style>
  <w:style w:type="paragraph" w:customStyle="1" w:styleId="BodyTextRight">
    <w:name w:val="Body Text Right"/>
    <w:basedOn w:val="BodyText"/>
    <w:rsid w:val="004529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9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9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9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9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9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98D"/>
    <w:rPr>
      <w:sz w:val="32"/>
    </w:rPr>
  </w:style>
  <w:style w:type="paragraph" w:customStyle="1" w:styleId="HeadingProcedure">
    <w:name w:val="Heading Procedure"/>
    <w:basedOn w:val="HeadingBase"/>
    <w:next w:val="Normal"/>
    <w:rsid w:val="004529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98D"/>
    <w:pPr>
      <w:spacing w:before="60" w:after="60"/>
    </w:pPr>
  </w:style>
  <w:style w:type="paragraph" w:styleId="ListContinue">
    <w:name w:val="List Continue"/>
    <w:basedOn w:val="List"/>
    <w:rsid w:val="0045298D"/>
    <w:pPr>
      <w:ind w:firstLine="0"/>
    </w:pPr>
  </w:style>
  <w:style w:type="paragraph" w:customStyle="1" w:styleId="ListNote">
    <w:name w:val="List Note"/>
    <w:basedOn w:val="List"/>
    <w:rsid w:val="004529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9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9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98D"/>
    <w:rPr>
      <w:rFonts w:ascii="Courier New" w:hAnsi="Courier New"/>
    </w:rPr>
  </w:style>
  <w:style w:type="paragraph" w:customStyle="1" w:styleId="NoteBullet">
    <w:name w:val="Note Bullet"/>
    <w:basedOn w:val="Note"/>
    <w:rsid w:val="004529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9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9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9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9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9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9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98D"/>
    <w:rPr>
      <w:b/>
      <w:smallCaps/>
    </w:rPr>
  </w:style>
  <w:style w:type="paragraph" w:customStyle="1" w:styleId="TableListNumber">
    <w:name w:val="Table List Number"/>
    <w:basedOn w:val="ListNumber"/>
    <w:rsid w:val="004529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9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98D"/>
    <w:pPr>
      <w:numPr>
        <w:numId w:val="8"/>
      </w:numPr>
    </w:pPr>
  </w:style>
  <w:style w:type="paragraph" w:customStyle="1" w:styleId="ListAlpha2">
    <w:name w:val="List Alpha 2"/>
    <w:basedOn w:val="List2"/>
    <w:rsid w:val="0045298D"/>
    <w:pPr>
      <w:numPr>
        <w:numId w:val="7"/>
      </w:numPr>
    </w:pPr>
  </w:style>
  <w:style w:type="paragraph" w:styleId="List2">
    <w:name w:val="List 2"/>
    <w:basedOn w:val="BodyText"/>
    <w:rsid w:val="004529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9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9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9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9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9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98D"/>
    <w:pPr>
      <w:numPr>
        <w:numId w:val="3"/>
      </w:numPr>
    </w:pPr>
  </w:style>
  <w:style w:type="paragraph" w:styleId="ListContinue2">
    <w:name w:val="List Continue 2"/>
    <w:basedOn w:val="List2"/>
    <w:rsid w:val="0045298D"/>
    <w:pPr>
      <w:ind w:firstLine="0"/>
    </w:pPr>
  </w:style>
  <w:style w:type="paragraph" w:styleId="ListContinue3">
    <w:name w:val="List Continue 3"/>
    <w:basedOn w:val="List3"/>
    <w:rsid w:val="0045298D"/>
    <w:pPr>
      <w:ind w:left="1021" w:firstLine="0"/>
    </w:pPr>
  </w:style>
  <w:style w:type="paragraph" w:styleId="ListContinue4">
    <w:name w:val="List Continue 4"/>
    <w:basedOn w:val="List4"/>
    <w:rsid w:val="0045298D"/>
    <w:pPr>
      <w:ind w:firstLine="0"/>
    </w:pPr>
  </w:style>
  <w:style w:type="paragraph" w:styleId="ListContinue5">
    <w:name w:val="List Continue 5"/>
    <w:basedOn w:val="List5"/>
    <w:rsid w:val="0045298D"/>
    <w:pPr>
      <w:ind w:firstLine="0"/>
    </w:pPr>
  </w:style>
  <w:style w:type="paragraph" w:styleId="ListNumber3">
    <w:name w:val="List Number 3"/>
    <w:basedOn w:val="List3"/>
    <w:rsid w:val="0045298D"/>
    <w:pPr>
      <w:numPr>
        <w:numId w:val="4"/>
      </w:numPr>
    </w:pPr>
  </w:style>
  <w:style w:type="paragraph" w:styleId="ListNumber4">
    <w:name w:val="List Number 4"/>
    <w:basedOn w:val="List4"/>
    <w:rsid w:val="0045298D"/>
    <w:pPr>
      <w:numPr>
        <w:numId w:val="5"/>
      </w:numPr>
    </w:pPr>
  </w:style>
  <w:style w:type="paragraph" w:styleId="ListNumber5">
    <w:name w:val="List Number 5"/>
    <w:basedOn w:val="List5"/>
    <w:rsid w:val="0045298D"/>
    <w:pPr>
      <w:numPr>
        <w:numId w:val="6"/>
      </w:numPr>
    </w:pPr>
  </w:style>
  <w:style w:type="paragraph" w:styleId="BlockText">
    <w:name w:val="Block Text"/>
    <w:basedOn w:val="Normal"/>
    <w:rsid w:val="004529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9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98D"/>
    <w:rPr>
      <w:sz w:val="16"/>
      <w:vertAlign w:val="superscript"/>
    </w:rPr>
  </w:style>
  <w:style w:type="character" w:customStyle="1" w:styleId="Symbols">
    <w:name w:val="Symbols"/>
    <w:basedOn w:val="DefaultParagraphFont"/>
    <w:rsid w:val="0045298D"/>
    <w:rPr>
      <w:rFonts w:ascii="Symbol" w:hAnsi="Symbol"/>
    </w:rPr>
  </w:style>
  <w:style w:type="character" w:customStyle="1" w:styleId="MenuOptions">
    <w:name w:val="Menu Options"/>
    <w:basedOn w:val="DefaultParagraphFont"/>
    <w:rsid w:val="004529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98D"/>
    <w:rPr>
      <w:b/>
    </w:rPr>
  </w:style>
  <w:style w:type="character" w:customStyle="1" w:styleId="Underlined">
    <w:name w:val="Underlined"/>
    <w:basedOn w:val="DefaultParagraphFont"/>
    <w:rsid w:val="0045298D"/>
    <w:rPr>
      <w:u w:val="single"/>
    </w:rPr>
  </w:style>
  <w:style w:type="paragraph" w:customStyle="1" w:styleId="TableBodyTextRight">
    <w:name w:val="Table Body Text Right"/>
    <w:basedOn w:val="TableBodyText"/>
    <w:rsid w:val="004529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98D"/>
    <w:rPr>
      <w:sz w:val="18"/>
    </w:rPr>
  </w:style>
  <w:style w:type="paragraph" w:customStyle="1" w:styleId="BodySmallRight">
    <w:name w:val="Body Small Right"/>
    <w:basedOn w:val="BodyTextRight"/>
    <w:rsid w:val="0045298D"/>
    <w:rPr>
      <w:sz w:val="18"/>
      <w:szCs w:val="18"/>
    </w:rPr>
  </w:style>
  <w:style w:type="paragraph" w:customStyle="1" w:styleId="MarginEdition">
    <w:name w:val="Margin Edition"/>
    <w:basedOn w:val="MarginNote"/>
    <w:rsid w:val="004529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98D"/>
    <w:rPr>
      <w:sz w:val="2"/>
      <w:szCs w:val="2"/>
    </w:rPr>
  </w:style>
  <w:style w:type="character" w:customStyle="1" w:styleId="Small">
    <w:name w:val="Small"/>
    <w:basedOn w:val="DefaultParagraphFont"/>
    <w:rsid w:val="0045298D"/>
    <w:rPr>
      <w:sz w:val="16"/>
    </w:rPr>
  </w:style>
  <w:style w:type="paragraph" w:customStyle="1" w:styleId="WideTable">
    <w:name w:val="Wide Table"/>
    <w:basedOn w:val="Normal"/>
    <w:rsid w:val="004529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98D"/>
  </w:style>
  <w:style w:type="paragraph" w:styleId="Quote">
    <w:name w:val="Quote"/>
    <w:basedOn w:val="Heading1"/>
    <w:link w:val="QuoteChar"/>
    <w:qFormat/>
    <w:rsid w:val="004529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9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98D"/>
    <w:pPr>
      <w:pageBreakBefore/>
    </w:pPr>
  </w:style>
  <w:style w:type="paragraph" w:customStyle="1" w:styleId="Border">
    <w:name w:val="Border"/>
    <w:basedOn w:val="Normal"/>
    <w:qFormat/>
    <w:rsid w:val="004529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9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9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9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9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9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9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9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9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98D"/>
    <w:rPr>
      <w:u w:val="single"/>
    </w:rPr>
  </w:style>
  <w:style w:type="character" w:customStyle="1" w:styleId="BoldandItalics">
    <w:name w:val="Bold and Italics"/>
    <w:qFormat/>
    <w:rsid w:val="0045298D"/>
    <w:rPr>
      <w:b/>
      <w:i/>
      <w:u w:val="none"/>
    </w:rPr>
  </w:style>
  <w:style w:type="paragraph" w:styleId="BalloonText">
    <w:name w:val="Balloon Text"/>
    <w:basedOn w:val="Normal"/>
    <w:link w:val="BalloonTextChar"/>
    <w:rsid w:val="00452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9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9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9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9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9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98D"/>
    <w:pPr>
      <w:spacing w:before="0" w:after="0"/>
    </w:pPr>
  </w:style>
  <w:style w:type="paragraph" w:customStyle="1" w:styleId="BodyTextBold">
    <w:name w:val="Body Text Bold"/>
    <w:basedOn w:val="BodyText"/>
    <w:qFormat/>
    <w:rsid w:val="0045298D"/>
    <w:rPr>
      <w:b/>
    </w:rPr>
  </w:style>
  <w:style w:type="character" w:styleId="Hyperlink">
    <w:name w:val="Hyperlink"/>
    <w:basedOn w:val="DefaultParagraphFont"/>
    <w:uiPriority w:val="99"/>
    <w:unhideWhenUsed/>
    <w:rsid w:val="009F1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2726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PUALAW003 Give evidence in a judicial or quasi-judicial setting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