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93E" w:rsidP="00024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PUAFIR612 Undertake post incident analysis</w:t>
      </w:r>
      <w:r>
        <w:fldChar w:fldCharType="end"/>
      </w:r>
    </w:p>
    <w:p w:rsidR="0002493E" w:rsidP="0002493E">
      <w:pPr>
        <w:pStyle w:val="Version"/>
        <w:sectPr w:rsidSect="00DE6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6724" w:rsidP="00DE6724">
      <w:pPr>
        <w:pStyle w:val="SuperHeading"/>
      </w:pPr>
      <w:r w:rsidRPr="00DE6724">
        <w:t>PUAFIR612 Undertake post incident analysis</w:t>
      </w:r>
    </w:p>
    <w:p w:rsidR="00000000" w:rsidRPr="00DE6724" w:rsidP="00DE6724">
      <w:pPr>
        <w:pStyle w:val="Heading1"/>
      </w:pPr>
      <w:bookmarkStart w:id="1" w:name="O_1278626"/>
      <w:bookmarkEnd w:id="1"/>
      <w:r w:rsidRPr="00DE67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Release 2.</w:t>
            </w:r>
            <w:r w:rsidRPr="00DE6724">
              <w:t xml:space="preserve"> This is the second release of this unit of competency in the PUA Public Safety Training Package.</w:t>
            </w:r>
          </w:p>
          <w:p w:rsidR="00000000" w:rsidRPr="00DE6724" w:rsidP="00DE6724">
            <w:pPr>
              <w:pStyle w:val="ListBullet"/>
            </w:pPr>
            <w:r w:rsidRPr="00DE6724">
              <w:t>Update imported pre-requisite unit code.</w:t>
            </w:r>
          </w:p>
          <w:p w:rsidR="00000000" w:rsidP="00DE6724">
            <w:pPr>
              <w:pStyle w:val="ListBullet"/>
              <w:rPr>
                <w:lang w:val="en-NZ"/>
              </w:rPr>
            </w:pPr>
            <w:r w:rsidRPr="00DE6724">
              <w:t>Update assessment conditions.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Release 1.</w:t>
            </w:r>
            <w:r w:rsidRPr="00DE6724">
              <w:t xml:space="preserve"> This is the first release of this unit of c</w:t>
            </w:r>
            <w:r w:rsidRPr="00DE6724">
              <w:t>ompetency in the PUA Public Safety Training Package.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2" w:name="O_1278625"/>
      <w:bookmarkEnd w:id="2"/>
      <w:r w:rsidRPr="00DE67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This unit of competency involves the skills and knowledge required to manage or participate in the analysis of an incident after the event. The analysis should review all</w:t>
            </w:r>
            <w:r w:rsidRPr="00DE6724">
              <w:t xml:space="preserve"> prior, actual and post-aspects of an incident (structure, mobile and wildfire). </w:t>
            </w:r>
          </w:p>
          <w:p w:rsidR="00000000" w:rsidRPr="00DE6724" w:rsidP="00DE6724">
            <w:pPr>
              <w:pStyle w:val="BodyText"/>
            </w:pPr>
            <w:r w:rsidRPr="00DE6724">
              <w:t>The unit focuses on developing and applying a systematic approach to a post-incident analysis across incidents. It is not intended to address post-incident analysis of operat</w:t>
            </w:r>
            <w:r w:rsidRPr="00DE6724">
              <w:t>ional activities. Application of this unit is relevant to fire investigators who conduct post-incident analysis of fire investigations.</w:t>
            </w:r>
          </w:p>
          <w:p w:rsidR="00000000" w:rsidRPr="00DE6724" w:rsidP="00DE6724">
            <w:pPr>
              <w:pStyle w:val="BodyText"/>
            </w:pPr>
            <w:r w:rsidRPr="00DE6724">
              <w:t>The fire sector is those sections of government departments, statutory authorities or organisations that have responsibi</w:t>
            </w:r>
            <w:r w:rsidRPr="00DE6724">
              <w:t>lity under jurisdictional arrangements for the delivery of firefighting and fire management services.</w:t>
            </w:r>
          </w:p>
          <w:p w:rsidR="00000000" w:rsidRPr="00DE6724" w:rsidP="00DE6724">
            <w:pPr>
              <w:pStyle w:val="BodyText"/>
            </w:pPr>
            <w:r w:rsidRPr="00DE6724">
              <w:t>No licensing, legislative or certification requirements apply to this unit at the time of publication.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3" w:name="O_1278624"/>
      <w:bookmarkEnd w:id="3"/>
      <w:r w:rsidRPr="00DE67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E6724" w:rsidP="00DE6724">
            <w:pPr>
              <w:pStyle w:val="BodyText"/>
            </w:pPr>
            <w:r w:rsidRPr="00DE6724">
              <w:t>CPPINV3032 Develop factual investigation rep</w:t>
            </w:r>
            <w:r w:rsidRPr="00DE6724">
              <w:t>orts</w:t>
            </w:r>
          </w:p>
          <w:p w:rsidR="00000000" w:rsidRPr="00DE6724" w:rsidP="00DE6724">
            <w:pPr>
              <w:pStyle w:val="BodyText"/>
            </w:pPr>
            <w:r w:rsidRPr="00DE6724">
              <w:t xml:space="preserve">PUAFIR605 Determine origin and cause of mobile property fire </w:t>
            </w:r>
          </w:p>
          <w:p w:rsidR="00000000" w:rsidRPr="00DE6724" w:rsidP="00DE6724">
            <w:pPr>
              <w:pStyle w:val="BodyText"/>
            </w:pPr>
            <w:r w:rsidRPr="00DE6724">
              <w:t>One of the following:</w:t>
            </w:r>
          </w:p>
          <w:p w:rsidR="00000000" w:rsidRPr="00DE6724" w:rsidP="00DE6724">
            <w:pPr>
              <w:pStyle w:val="BodyText"/>
            </w:pPr>
            <w:r w:rsidRPr="00DE6724">
              <w:t xml:space="preserve">PUAFIR603 Determine origin and cause of wildfire </w:t>
            </w:r>
          </w:p>
          <w:p w:rsidR="00000000" w:rsidRPr="00DE6724" w:rsidP="00DE6724">
            <w:pPr>
              <w:pStyle w:val="BodyText"/>
            </w:pPr>
            <w:r w:rsidRPr="00DE6724">
              <w:t xml:space="preserve">PUAFIR604 Determine origin and cause of structure fire 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4" w:name="O_1278623"/>
      <w:bookmarkEnd w:id="4"/>
      <w:r w:rsidRPr="00DE67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Fire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5" w:name="O_1278622"/>
      <w:bookmarkEnd w:id="5"/>
      <w:r w:rsidRPr="00DE67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Fire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6" w:name="O_1278621"/>
      <w:bookmarkEnd w:id="6"/>
      <w:r w:rsidRPr="00DE67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PERFORMANCE CRITERIA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Performance criteria describe the performance needed to demonstrate achievement of the element.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Participate in post</w:t>
            </w:r>
            <w:r w:rsidRPr="00DE6724">
              <w:t>-</w:t>
            </w:r>
            <w:r w:rsidRPr="00DE6724">
              <w:rPr>
                <w:rStyle w:val="SpecialBold"/>
              </w:rPr>
              <w:t>incident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Roles and responsibilities of multi-organisational or agency and support personnel involved in post-incident analysis are determined and confirmed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Cooperation with multi-organisational or agency personnel in the conduct of post-incident analysis is in accordance with organisational procedures and is consistent with designated roles and responsibilities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Information for post-incident analysis f</w:t>
            </w:r>
            <w:r w:rsidRPr="00DE6724">
              <w:t xml:space="preserve">rom multi-organisational or agency personnel is identified and sought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Work health and safety (WHS)/occupational health and safety (OHS) procedures are followed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Facilitate initial assessment of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Integrity of incident site is establish</w:t>
            </w:r>
            <w:r w:rsidRPr="00DE6724">
              <w:t xml:space="preserve">ed and maintained in accordance with organisational procedures and legal requirements to ensure objectivity of information collected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Statutory and legal obligations are identified and followed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Factors affecting the complexity of the investigation are determined and assessed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Stakeholders are notified in accordance with organisational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Participate in investigation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Organisational policies and procedures for scene investigation are implemented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Scope of investigation is determined in accordance with organisational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Stakeholder involvement is facilitated throughout </w:t>
            </w:r>
            <w:r w:rsidRPr="00DE6724">
              <w:t>investigation processes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Barriers impacting on post-incident analysis are identified and addressed in accordance with organisational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Action plans and timelines are developed and implemented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3.6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Liaison with members of analysis team is undertaken in accordance with organisational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Collect data for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Information and data, including historical, are identified and accessed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Physical, visual and electronic data is collect</w:t>
            </w:r>
            <w:r w:rsidRPr="00DE6724">
              <w:t xml:space="preserve">ed for use in post-incident analysis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Interviews are conducted in accordance with organisational procedures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4.4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Information and data gathered by others is analysed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4.5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Documented evidence is recorded in accordance with organisationa</w:t>
            </w:r>
            <w:r w:rsidRPr="00DE6724">
              <w:t>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5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Analyse collected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Method for analysis is identified and confirmed in accordance with organisational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Data is analysed in accordance with organisational procedures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Timeline of events is constructed from analy</w:t>
            </w:r>
            <w:r w:rsidRPr="00DE6724">
              <w:t>sis, where possible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Conditions and circumstances contributing to the incident and resulting escalation are identified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Relationship between human behaviour and incident is assessed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Impact of the application of building codes is evaluated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5.7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Likelihood of reoccurrence with high consequence is assessed and actioned for follow-up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6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Compile post</w:t>
            </w:r>
            <w:r w:rsidRPr="00DE6724">
              <w:t>-</w:t>
            </w:r>
            <w:r w:rsidRPr="00DE6724">
              <w:rPr>
                <w:rStyle w:val="SpecialBold"/>
              </w:rPr>
              <w:t>incident analysis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6.1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Results of analysis and recommendations are reported in ac</w:t>
            </w:r>
            <w:r w:rsidRPr="00DE6724">
              <w:t xml:space="preserve">cordance with organisational procedures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6.2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>Information and data are disseminated to key personnel and stakeholders, as appropriate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rPr>
                <w:rStyle w:val="SpecialBold"/>
              </w:rPr>
              <w:t>6.3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 xml:space="preserve">Data dissemination processes are reviewed and evaluated in accordance with organisational procedures 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7" w:name="O_1278620"/>
      <w:bookmarkEnd w:id="7"/>
      <w:r w:rsidRPr="00DE67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Foundation skills essential to performance are explicit in the performance criteria of this unit of competency.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8" w:name="O_1278619"/>
      <w:bookmarkEnd w:id="8"/>
      <w:r w:rsidRPr="00DE67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Range is restricted to essential operating conditions and any other variables essential to the work environment.</w:t>
            </w:r>
          </w:p>
          <w:p w:rsidR="00000000" w:rsidRPr="00DE6724" w:rsidP="00DE6724">
            <w:pPr>
              <w:pStyle w:val="BodyText"/>
            </w:pPr>
            <w:r w:rsidRPr="00DE6724">
              <w:t>Non-essential conditions may be found in the PUA Public Safety Training Package Companion Volume Implementation Guide.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9" w:name="O_1278618"/>
      <w:bookmarkEnd w:id="9"/>
      <w:r w:rsidRPr="00DE6724">
        <w:t>Uni</w:t>
      </w:r>
      <w:r w:rsidRPr="00DE6724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>This unit replaces and is equivalent to PUAFIR612A Undertake post incident analysis.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10" w:name="O_1278627"/>
      <w:bookmarkEnd w:id="10"/>
      <w:r w:rsidRPr="00DE6724">
        <w:t>Links</w:t>
      </w:r>
    </w:p>
    <w:p w:rsidR="00000000" w:rsidRPr="00DE6724" w:rsidP="0002493E">
      <w:pPr>
        <w:pStyle w:val="BodyText"/>
      </w:pPr>
      <w:r w:rsidRPr="00DE6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7B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E6724" w:rsidP="0002493E">
      <w:pPr>
        <w:pStyle w:val="BodyText"/>
        <w:sectPr w:rsidSect="00DE67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724" w:rsidP="00DE6724">
      <w:pPr>
        <w:pStyle w:val="SuperHeading"/>
      </w:pPr>
      <w:r w:rsidRPr="00DE6724">
        <w:t>Assessment Requirements for PUAFIR612 Undertake post incident a</w:t>
      </w:r>
      <w:r w:rsidRPr="00DE6724">
        <w:t>nalysis</w:t>
      </w:r>
    </w:p>
    <w:p w:rsidR="00000000" w:rsidRPr="00DE6724" w:rsidP="00DE6724">
      <w:pPr>
        <w:pStyle w:val="Heading1"/>
      </w:pPr>
      <w:bookmarkStart w:id="11" w:name="O_1278616"/>
      <w:bookmarkEnd w:id="11"/>
      <w:r w:rsidRPr="00DE67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Release 2.</w:t>
            </w:r>
            <w:r w:rsidRPr="00DE6724">
              <w:t xml:space="preserve"> This is the second release of this unit of competency in the PUA Public Safety Training Package.</w:t>
            </w:r>
          </w:p>
          <w:p w:rsidR="00000000" w:rsidRPr="00DE6724" w:rsidP="00DE6724">
            <w:pPr>
              <w:pStyle w:val="ListBullet"/>
            </w:pPr>
            <w:r w:rsidRPr="00DE6724">
              <w:t>Update imported pre-requisite unit code.</w:t>
            </w:r>
          </w:p>
          <w:p w:rsidR="00000000" w:rsidP="00DE6724">
            <w:pPr>
              <w:pStyle w:val="ListBullet"/>
              <w:rPr>
                <w:lang w:val="en-NZ"/>
              </w:rPr>
            </w:pPr>
            <w:r w:rsidRPr="00DE6724">
              <w:t>Update assessment conditions.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rPr>
                <w:rStyle w:val="SpecialBold"/>
              </w:rPr>
              <w:t>Release 1.</w:t>
            </w:r>
            <w:r w:rsidRPr="00DE6724">
              <w:t xml:space="preserve"> This is the first release of this unit of competency in the PUA Public Safety Training Package.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12" w:name="O_1278615"/>
      <w:bookmarkEnd w:id="12"/>
      <w:r w:rsidRPr="00DE67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Evidence required to demonstrate competence in this unit must be relevant to and satisfy all the requirements of the </w:t>
            </w:r>
            <w:r w:rsidRPr="00DE6724">
              <w:t xml:space="preserve">elements and performance criteria on at least one occasion and include: 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ListBullet"/>
            </w:pPr>
            <w:r w:rsidRPr="00DE6724">
              <w:t>analysing collected data</w:t>
            </w:r>
          </w:p>
          <w:p w:rsidR="00000000" w:rsidRPr="00DE6724" w:rsidP="00DE6724">
            <w:pPr>
              <w:pStyle w:val="ListBullet"/>
            </w:pPr>
            <w:r w:rsidRPr="00DE6724">
              <w:t>applying work health and safety (WHS)/occupational health and safety (OHS) requirements</w:t>
            </w:r>
          </w:p>
          <w:p w:rsidR="00000000" w:rsidRPr="00DE6724" w:rsidP="00DE6724">
            <w:pPr>
              <w:pStyle w:val="ListBullet"/>
            </w:pPr>
            <w:r w:rsidRPr="00DE6724">
              <w:t>collecting data for analysis, including historical</w:t>
            </w:r>
          </w:p>
          <w:p w:rsidR="00000000" w:rsidRPr="00DE6724" w:rsidP="00DE6724">
            <w:pPr>
              <w:pStyle w:val="ListBullet"/>
            </w:pPr>
            <w:r w:rsidRPr="00DE6724">
              <w:t>compiling post-incident analysis reports and recommendations</w:t>
            </w:r>
          </w:p>
          <w:p w:rsidR="00000000" w:rsidRPr="00DE6724" w:rsidP="00DE6724">
            <w:pPr>
              <w:pStyle w:val="ListBullet"/>
            </w:pPr>
            <w:r w:rsidRPr="00DE6724">
              <w:t>completing organisational documentation</w:t>
            </w:r>
          </w:p>
          <w:p w:rsidR="00000000" w:rsidRPr="00DE6724" w:rsidP="00DE6724">
            <w:pPr>
              <w:pStyle w:val="ListBullet"/>
            </w:pPr>
            <w:r w:rsidRPr="00DE6724">
              <w:t>conducting investigations using organisationally approved scientific methods</w:t>
            </w:r>
          </w:p>
          <w:p w:rsidR="00000000" w:rsidRPr="00DE6724" w:rsidP="00DE6724">
            <w:pPr>
              <w:pStyle w:val="ListBullet"/>
            </w:pPr>
            <w:r w:rsidRPr="00DE6724">
              <w:t>developing recommendations</w:t>
            </w:r>
          </w:p>
          <w:p w:rsidR="00000000" w:rsidRPr="00DE6724" w:rsidP="00DE6724">
            <w:pPr>
              <w:pStyle w:val="ListBullet"/>
            </w:pPr>
            <w:r w:rsidRPr="00DE6724">
              <w:t>operating with and in an analysis team</w:t>
            </w:r>
          </w:p>
          <w:p w:rsidR="00000000" w:rsidRPr="00DE6724" w:rsidP="00DE6724">
            <w:pPr>
              <w:pStyle w:val="ListBullet"/>
            </w:pPr>
            <w:r w:rsidRPr="00DE6724">
              <w:t>participatin</w:t>
            </w:r>
            <w:r w:rsidRPr="00DE6724">
              <w:t>g in post-incident analysis with key stakeholders and organisations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using communication media and information technology. 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13" w:name="O_1278614"/>
      <w:bookmarkEnd w:id="13"/>
      <w:r w:rsidRPr="00DE67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724">
            <w:pPr>
              <w:pStyle w:val="BodyText"/>
              <w:rPr>
                <w:lang w:val="en-NZ"/>
              </w:rPr>
            </w:pPr>
            <w:r w:rsidRPr="00DE6724">
              <w:t xml:space="preserve">Evidence required to demonstrate competence in this unit must be relevant to and satisfy all </w:t>
            </w:r>
            <w:r w:rsidRPr="00DE6724">
              <w:t>the requirements of the elements and performance criteria and include knowledge of:</w:t>
            </w:r>
          </w:p>
        </w:tc>
      </w:tr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ListBullet"/>
            </w:pPr>
            <w:r w:rsidRPr="00DE6724">
              <w:t>factors, barriers and complexities that can impact a post-incident analysis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guidance materials </w:t>
            </w:r>
          </w:p>
          <w:p w:rsidR="00000000" w:rsidRPr="00DE6724" w:rsidP="00DE6724">
            <w:pPr>
              <w:pStyle w:val="ListBullet"/>
            </w:pPr>
            <w:r w:rsidRPr="00DE6724">
              <w:t>hazard and risk mitigation measures</w:t>
            </w:r>
          </w:p>
          <w:p w:rsidR="00000000" w:rsidRPr="00DE6724" w:rsidP="00DE6724">
            <w:pPr>
              <w:pStyle w:val="ListBullet"/>
            </w:pPr>
            <w:r w:rsidRPr="00DE6724">
              <w:t>internal and external sources of information and data, including historical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key personnel, including stakeholders 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legislation, regulations, codes of practice and industry standards 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organisational documentation, policies and procedures </w:t>
            </w:r>
          </w:p>
          <w:p w:rsidR="00000000" w:rsidRPr="00DE6724" w:rsidP="00DE6724">
            <w:pPr>
              <w:pStyle w:val="ListBullet"/>
            </w:pPr>
            <w:r w:rsidRPr="00DE6724">
              <w:t>resources and supp</w:t>
            </w:r>
            <w:r w:rsidRPr="00DE6724">
              <w:t>ort personnel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structure of analysis teams, including roles and responsibilities </w:t>
            </w:r>
          </w:p>
          <w:p w:rsidR="00000000" w:rsidRPr="00DE6724" w:rsidP="00DE6724">
            <w:pPr>
              <w:pStyle w:val="ListBullet"/>
            </w:pPr>
            <w:r w:rsidRPr="00DE6724">
              <w:t>types of organisations and agencies involved in post-incident analysis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WHS/OHS requirements, including risk mitigation. 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14" w:name="O_1278613"/>
      <w:bookmarkEnd w:id="14"/>
      <w:r w:rsidRPr="00DE67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724" w:rsidP="00DE6724">
            <w:pPr>
              <w:pStyle w:val="BodyText"/>
            </w:pPr>
            <w:r w:rsidRPr="00DE6724">
              <w:t xml:space="preserve">Assessors must hold credentials specified within the Standards for Registered Training Organisations current at the time of assessment. </w:t>
            </w:r>
          </w:p>
          <w:p w:rsidR="00000000" w:rsidRPr="00DE6724" w:rsidP="00DE6724">
            <w:pPr>
              <w:pStyle w:val="BodyText"/>
            </w:pPr>
            <w:r w:rsidRPr="00DE6724">
              <w:t>Assessment must satisfy the Principles of Assessment and Rules of Evidence and all regulatory requirements included wit</w:t>
            </w:r>
            <w:r w:rsidRPr="00DE6724">
              <w:t>hin the Standards for Registered Training Organisations current at the time of assessment.</w:t>
            </w:r>
          </w:p>
          <w:p w:rsidR="00000000" w:rsidRPr="00DE6724" w:rsidP="00DE6724">
            <w:pPr>
              <w:pStyle w:val="BodyText"/>
            </w:pPr>
            <w:r w:rsidRPr="00DE6724">
              <w:t>Assessment processes and techniques must be appropriate to the language, literacy and numeracy requirements of the work being performed and the needs of the candidat</w:t>
            </w:r>
            <w:r w:rsidRPr="00DE6724">
              <w:t>e.</w:t>
            </w:r>
          </w:p>
          <w:p w:rsidR="00000000" w:rsidRPr="00DE6724" w:rsidP="00DE6724">
            <w:pPr>
              <w:pStyle w:val="BodyText"/>
            </w:pPr>
            <w:r w:rsidRPr="00DE6724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E6724" w:rsidP="00DE6724">
            <w:pPr>
              <w:pStyle w:val="BodyText"/>
            </w:pPr>
            <w:r w:rsidRPr="00DE6724">
              <w:t>Resources for assessment must include acce</w:t>
            </w:r>
            <w:r w:rsidRPr="00DE6724">
              <w:t>ss to:</w:t>
            </w:r>
          </w:p>
          <w:p w:rsidR="00000000" w:rsidRPr="00DE6724" w:rsidP="00DE6724">
            <w:pPr>
              <w:pStyle w:val="ListBullet"/>
            </w:pPr>
            <w:r w:rsidRPr="00DE6724">
              <w:t>a range of relevant exercises, case studies and/or simulations</w:t>
            </w:r>
          </w:p>
          <w:p w:rsidR="00000000" w:rsidRPr="00DE6724" w:rsidP="00DE6724">
            <w:pPr>
              <w:pStyle w:val="ListBullet"/>
            </w:pPr>
            <w:r w:rsidRPr="00DE6724">
              <w:t xml:space="preserve">relevant and appropriate materials, equipment, tools and personal protective equipment (PPE) currently used in industry </w:t>
            </w:r>
          </w:p>
          <w:p w:rsidR="00000000" w:rsidRPr="00DE6724" w:rsidP="00DE6724">
            <w:pPr>
              <w:pStyle w:val="ListBullet"/>
            </w:pPr>
            <w:r w:rsidRPr="00DE6724">
              <w:t>applicable documentation, including organisational procedures, i</w:t>
            </w:r>
            <w:r w:rsidRPr="00DE6724">
              <w:t>ndustry standards, equipment specifications, regulations, codes of practice and operation manuals.</w:t>
            </w:r>
          </w:p>
        </w:tc>
      </w:tr>
    </w:tbl>
    <w:p w:rsidR="00000000" w:rsidRPr="00DE6724" w:rsidP="00DE6724">
      <w:pPr>
        <w:pStyle w:val="NoPaddingFontSize1"/>
      </w:pPr>
    </w:p>
    <w:p w:rsidR="00000000" w:rsidRPr="00DE6724" w:rsidP="00DE6724">
      <w:pPr>
        <w:pStyle w:val="AllowPageBreak"/>
      </w:pPr>
    </w:p>
    <w:p w:rsidR="00000000" w:rsidRPr="00DE6724" w:rsidP="00DE6724">
      <w:pPr>
        <w:pStyle w:val="Heading1"/>
      </w:pPr>
      <w:bookmarkStart w:id="15" w:name="O_1278628"/>
      <w:bookmarkEnd w:id="15"/>
      <w:r w:rsidRPr="00DE6724">
        <w:t>Links</w:t>
      </w:r>
    </w:p>
    <w:p w:rsidR="00000000" w:rsidRPr="00DE6724" w:rsidP="0002493E">
      <w:pPr>
        <w:pStyle w:val="BodyText"/>
      </w:pPr>
      <w:r w:rsidRPr="00DE6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7B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E6724" w:rsidP="00DE6724"/>
    <w:sectPr w:rsidSect="00DE67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 w:rsidRPr="0002493E" w:rsidP="00024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3E" w:rsidP="00DE6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493E" w:rsidP="00DE6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2493E" w:rsidP="00DE67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 w:rsidP="00DE6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93E">
      <w:t>Approved</w:t>
    </w:r>
    <w:r w:rsidR="000249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9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93E">
      <w:rPr>
        <w:noProof/>
      </w:rPr>
      <w:t>5</w:t>
    </w:r>
    <w:r>
      <w:rPr>
        <w:noProof/>
      </w:rPr>
      <w:fldChar w:fldCharType="end"/>
    </w:r>
  </w:p>
  <w:p w:rsidR="00DE6724" w:rsidP="00DE6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9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93E">
      <w:t>Public Skills Australia</w:t>
    </w:r>
    <w:r w:rsidR="0002493E">
      <w:fldChar w:fldCharType="end"/>
    </w:r>
  </w:p>
  <w:p w:rsidR="00DE6724" w:rsidP="00DE6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724" w:rsidRPr="0002493E" w:rsidP="00024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3E" w:rsidRPr="002D2AF8" w:rsidP="00DE6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PUAFIR612 Undertake post incident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493E" w:rsidP="00DE67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724" w:rsidRPr="002D2AF8" w:rsidP="00DE6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93E">
      <w:t>PUAFIR612 Undertake post incident analysis</w:t>
    </w:r>
    <w:r w:rsidR="000249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93E">
      <w:rPr>
        <w:noProof/>
      </w:rPr>
      <w:t>2 March 2025</w:t>
    </w:r>
    <w:r>
      <w:fldChar w:fldCharType="end"/>
    </w:r>
  </w:p>
  <w:p w:rsidR="00DE6724" w:rsidP="00DE6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EED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120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724"/>
  </w:style>
  <w:style w:type="character" w:customStyle="1" w:styleId="Heading1Char">
    <w:name w:val="Heading 1 Char"/>
    <w:basedOn w:val="DefaultParagraphFont"/>
    <w:link w:val="Heading1"/>
    <w:rsid w:val="00DE6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7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724"/>
    <w:rPr>
      <w:b/>
      <w:spacing w:val="0"/>
    </w:rPr>
  </w:style>
  <w:style w:type="paragraph" w:customStyle="1" w:styleId="SuperHeading">
    <w:name w:val="SuperHeading"/>
    <w:basedOn w:val="Normal"/>
    <w:rsid w:val="00DE6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6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7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7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724"/>
    <w:rPr>
      <w:i/>
    </w:rPr>
  </w:style>
  <w:style w:type="paragraph" w:styleId="Caption">
    <w:name w:val="caption"/>
    <w:basedOn w:val="BodyText"/>
    <w:next w:val="Normal"/>
    <w:qFormat/>
    <w:rsid w:val="00DE6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724"/>
  </w:style>
  <w:style w:type="paragraph" w:styleId="TableofFigures">
    <w:name w:val="table of figures"/>
    <w:basedOn w:val="Normal"/>
    <w:next w:val="Normal"/>
    <w:semiHidden/>
    <w:rsid w:val="00DE6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7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6724"/>
    <w:rPr>
      <w:rFonts w:ascii="Wingdings" w:hAnsi="Wingdings"/>
    </w:rPr>
  </w:style>
  <w:style w:type="paragraph" w:customStyle="1" w:styleId="TableHeading">
    <w:name w:val="Table Heading"/>
    <w:basedOn w:val="HeadingBase"/>
    <w:rsid w:val="00DE6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724"/>
    <w:rPr>
      <w:color w:val="0033CC"/>
      <w:u w:val="none"/>
    </w:rPr>
  </w:style>
  <w:style w:type="paragraph" w:customStyle="1" w:styleId="BodyTextRight">
    <w:name w:val="Body Text Right"/>
    <w:basedOn w:val="BodyText"/>
    <w:rsid w:val="00DE6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7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724"/>
    <w:rPr>
      <w:sz w:val="32"/>
    </w:rPr>
  </w:style>
  <w:style w:type="paragraph" w:customStyle="1" w:styleId="HeadingProcedure">
    <w:name w:val="Heading Procedure"/>
    <w:basedOn w:val="HeadingBase"/>
    <w:next w:val="Normal"/>
    <w:rsid w:val="00DE6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724"/>
    <w:pPr>
      <w:spacing w:before="60" w:after="60"/>
    </w:pPr>
  </w:style>
  <w:style w:type="paragraph" w:styleId="ListContinue">
    <w:name w:val="List Continue"/>
    <w:basedOn w:val="List"/>
    <w:rsid w:val="00DE6724"/>
    <w:pPr>
      <w:ind w:firstLine="0"/>
    </w:pPr>
  </w:style>
  <w:style w:type="paragraph" w:customStyle="1" w:styleId="ListNote">
    <w:name w:val="List Note"/>
    <w:basedOn w:val="List"/>
    <w:rsid w:val="00DE6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724"/>
    <w:rPr>
      <w:rFonts w:ascii="Courier New" w:hAnsi="Courier New"/>
    </w:rPr>
  </w:style>
  <w:style w:type="paragraph" w:customStyle="1" w:styleId="NoteBullet">
    <w:name w:val="Note Bullet"/>
    <w:basedOn w:val="Note"/>
    <w:rsid w:val="00DE6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7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724"/>
    <w:rPr>
      <w:b/>
      <w:smallCaps/>
    </w:rPr>
  </w:style>
  <w:style w:type="paragraph" w:customStyle="1" w:styleId="TableListNumber">
    <w:name w:val="Table List Number"/>
    <w:basedOn w:val="ListNumber"/>
    <w:rsid w:val="00DE6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724"/>
    <w:pPr>
      <w:numPr>
        <w:numId w:val="8"/>
      </w:numPr>
    </w:pPr>
  </w:style>
  <w:style w:type="paragraph" w:customStyle="1" w:styleId="ListAlpha2">
    <w:name w:val="List Alpha 2"/>
    <w:basedOn w:val="List2"/>
    <w:rsid w:val="00DE6724"/>
    <w:pPr>
      <w:numPr>
        <w:numId w:val="7"/>
      </w:numPr>
    </w:pPr>
  </w:style>
  <w:style w:type="paragraph" w:styleId="List2">
    <w:name w:val="List 2"/>
    <w:basedOn w:val="BodyText"/>
    <w:rsid w:val="00DE6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7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7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724"/>
    <w:pPr>
      <w:numPr>
        <w:numId w:val="3"/>
      </w:numPr>
    </w:pPr>
  </w:style>
  <w:style w:type="paragraph" w:styleId="ListContinue2">
    <w:name w:val="List Continue 2"/>
    <w:basedOn w:val="List2"/>
    <w:rsid w:val="00DE6724"/>
    <w:pPr>
      <w:ind w:firstLine="0"/>
    </w:pPr>
  </w:style>
  <w:style w:type="paragraph" w:styleId="ListContinue3">
    <w:name w:val="List Continue 3"/>
    <w:basedOn w:val="List3"/>
    <w:rsid w:val="00DE6724"/>
    <w:pPr>
      <w:ind w:left="1021" w:firstLine="0"/>
    </w:pPr>
  </w:style>
  <w:style w:type="paragraph" w:styleId="ListContinue4">
    <w:name w:val="List Continue 4"/>
    <w:basedOn w:val="List4"/>
    <w:rsid w:val="00DE6724"/>
    <w:pPr>
      <w:ind w:firstLine="0"/>
    </w:pPr>
  </w:style>
  <w:style w:type="paragraph" w:styleId="ListContinue5">
    <w:name w:val="List Continue 5"/>
    <w:basedOn w:val="List5"/>
    <w:rsid w:val="00DE6724"/>
    <w:pPr>
      <w:ind w:firstLine="0"/>
    </w:pPr>
  </w:style>
  <w:style w:type="paragraph" w:styleId="ListNumber3">
    <w:name w:val="List Number 3"/>
    <w:basedOn w:val="List3"/>
    <w:rsid w:val="00DE6724"/>
    <w:pPr>
      <w:numPr>
        <w:numId w:val="4"/>
      </w:numPr>
    </w:pPr>
  </w:style>
  <w:style w:type="paragraph" w:styleId="ListNumber4">
    <w:name w:val="List Number 4"/>
    <w:basedOn w:val="List4"/>
    <w:rsid w:val="00DE6724"/>
    <w:pPr>
      <w:numPr>
        <w:numId w:val="5"/>
      </w:numPr>
    </w:pPr>
  </w:style>
  <w:style w:type="paragraph" w:styleId="ListNumber5">
    <w:name w:val="List Number 5"/>
    <w:basedOn w:val="List5"/>
    <w:rsid w:val="00DE6724"/>
    <w:pPr>
      <w:numPr>
        <w:numId w:val="6"/>
      </w:numPr>
    </w:pPr>
  </w:style>
  <w:style w:type="paragraph" w:styleId="BlockText">
    <w:name w:val="Block Text"/>
    <w:basedOn w:val="Normal"/>
    <w:rsid w:val="00DE6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724"/>
    <w:rPr>
      <w:sz w:val="16"/>
      <w:vertAlign w:val="superscript"/>
    </w:rPr>
  </w:style>
  <w:style w:type="character" w:customStyle="1" w:styleId="Symbols">
    <w:name w:val="Symbols"/>
    <w:basedOn w:val="DefaultParagraphFont"/>
    <w:rsid w:val="00DE6724"/>
    <w:rPr>
      <w:rFonts w:ascii="Symbol" w:hAnsi="Symbol"/>
    </w:rPr>
  </w:style>
  <w:style w:type="character" w:customStyle="1" w:styleId="MenuOptions">
    <w:name w:val="Menu Options"/>
    <w:basedOn w:val="DefaultParagraphFont"/>
    <w:rsid w:val="00DE6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724"/>
    <w:rPr>
      <w:b/>
    </w:rPr>
  </w:style>
  <w:style w:type="character" w:customStyle="1" w:styleId="Underlined">
    <w:name w:val="Underlined"/>
    <w:basedOn w:val="DefaultParagraphFont"/>
    <w:rsid w:val="00DE6724"/>
    <w:rPr>
      <w:u w:val="single"/>
    </w:rPr>
  </w:style>
  <w:style w:type="paragraph" w:customStyle="1" w:styleId="TableBodyTextRight">
    <w:name w:val="Table Body Text Right"/>
    <w:basedOn w:val="TableBodyText"/>
    <w:rsid w:val="00DE6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724"/>
    <w:rPr>
      <w:sz w:val="18"/>
    </w:rPr>
  </w:style>
  <w:style w:type="paragraph" w:customStyle="1" w:styleId="BodySmallRight">
    <w:name w:val="Body Small Right"/>
    <w:basedOn w:val="BodyTextRight"/>
    <w:rsid w:val="00DE6724"/>
    <w:rPr>
      <w:sz w:val="18"/>
      <w:szCs w:val="18"/>
    </w:rPr>
  </w:style>
  <w:style w:type="paragraph" w:customStyle="1" w:styleId="MarginEdition">
    <w:name w:val="Margin Edition"/>
    <w:basedOn w:val="MarginNote"/>
    <w:rsid w:val="00DE6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724"/>
    <w:rPr>
      <w:sz w:val="2"/>
      <w:szCs w:val="2"/>
    </w:rPr>
  </w:style>
  <w:style w:type="character" w:customStyle="1" w:styleId="Small">
    <w:name w:val="Small"/>
    <w:basedOn w:val="DefaultParagraphFont"/>
    <w:rsid w:val="00DE6724"/>
    <w:rPr>
      <w:sz w:val="16"/>
    </w:rPr>
  </w:style>
  <w:style w:type="paragraph" w:customStyle="1" w:styleId="WideTable">
    <w:name w:val="Wide Table"/>
    <w:basedOn w:val="Normal"/>
    <w:rsid w:val="00DE6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724"/>
  </w:style>
  <w:style w:type="paragraph" w:styleId="Quote">
    <w:name w:val="Quote"/>
    <w:basedOn w:val="Heading1"/>
    <w:link w:val="QuoteChar"/>
    <w:qFormat/>
    <w:rsid w:val="00DE6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724"/>
    <w:pPr>
      <w:pageBreakBefore/>
    </w:pPr>
  </w:style>
  <w:style w:type="paragraph" w:customStyle="1" w:styleId="Border">
    <w:name w:val="Border"/>
    <w:basedOn w:val="Normal"/>
    <w:qFormat/>
    <w:rsid w:val="00DE6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724"/>
    <w:rPr>
      <w:u w:val="single"/>
    </w:rPr>
  </w:style>
  <w:style w:type="character" w:customStyle="1" w:styleId="BoldandItalics">
    <w:name w:val="Bold and Italics"/>
    <w:qFormat/>
    <w:rsid w:val="00DE6724"/>
    <w:rPr>
      <w:b/>
      <w:i/>
      <w:u w:val="none"/>
    </w:rPr>
  </w:style>
  <w:style w:type="paragraph" w:styleId="BalloonText">
    <w:name w:val="Balloon Text"/>
    <w:basedOn w:val="Normal"/>
    <w:link w:val="BalloonTextChar"/>
    <w:rsid w:val="00DE6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724"/>
    <w:pPr>
      <w:spacing w:before="0" w:after="0"/>
    </w:pPr>
  </w:style>
  <w:style w:type="paragraph" w:customStyle="1" w:styleId="BodyTextBold">
    <w:name w:val="Body Text Bold"/>
    <w:basedOn w:val="BodyText"/>
    <w:qFormat/>
    <w:rsid w:val="00DE6724"/>
    <w:rPr>
      <w:b/>
    </w:rPr>
  </w:style>
  <w:style w:type="character" w:styleId="Hyperlink">
    <w:name w:val="Hyperlink"/>
    <w:basedOn w:val="DefaultParagraphFont"/>
    <w:uiPriority w:val="99"/>
    <w:unhideWhenUsed/>
    <w:rsid w:val="00024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8011</Characters>
  <Application>Microsoft Office Word</Application>
  <DocSecurity>0</DocSecurity>
  <Lines>308</Lines>
  <Paragraphs>177</Paragraphs>
  <ScaleCrop>false</ScaleCrop>
  <Company>Author-it Software Corporation Ltd.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PUAFIR612 Undertake post incident analysis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