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7F6" w:rsidP="00F95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PUAFIR611 Process and analyse fire scene data and laboratory results</w:t>
      </w:r>
      <w:r>
        <w:fldChar w:fldCharType="end"/>
      </w:r>
    </w:p>
    <w:p w:rsidR="00F957F6" w:rsidP="00F957F6">
      <w:pPr>
        <w:pStyle w:val="Version"/>
        <w:sectPr w:rsidSect="006C4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BDF" w:rsidP="006C4BDF">
      <w:pPr>
        <w:pStyle w:val="SuperHeading"/>
      </w:pPr>
      <w:r w:rsidRPr="006C4BDF">
        <w:t>PUAFIR611 Process and analyse fire scene data and laboratory results</w:t>
      </w:r>
    </w:p>
    <w:p w:rsidR="00000000" w:rsidRPr="006C4BDF" w:rsidP="006C4BDF">
      <w:pPr>
        <w:pStyle w:val="Heading1"/>
      </w:pPr>
      <w:bookmarkStart w:id="1" w:name="O_1031134"/>
      <w:bookmarkEnd w:id="1"/>
      <w:r w:rsidRPr="006C4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Release 1.</w:t>
            </w:r>
            <w:r w:rsidRPr="006C4BDF">
              <w:t xml:space="preserve"> This is the first release of this unit of competency in the PUA Public Safety Training Package.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2" w:name="O_1031135"/>
      <w:bookmarkEnd w:id="2"/>
      <w:r w:rsidRPr="006C4B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 xml:space="preserve">This unit of competency involves the skills and knowledge required to receive data from scientific practitioners, to process and analyse findings and to determine the origin and cause of a fire. It includes understanding scientific processes, analysis and </w:t>
            </w:r>
            <w:r w:rsidRPr="006C4BDF">
              <w:t>laboratory results.</w:t>
            </w:r>
          </w:p>
          <w:p w:rsidR="00000000" w:rsidRPr="006C4BDF" w:rsidP="006C4BDF">
            <w:pPr>
              <w:pStyle w:val="BodyText"/>
            </w:pPr>
            <w:r w:rsidRPr="006C4BDF">
              <w:t>The unit focuses on developing and applying a systematic approach to fire investigation and working across fire and emergency incidents including structure, mobile and wildfire. It is applicable to specialist fire investigators.</w:t>
            </w:r>
          </w:p>
          <w:p w:rsidR="00000000" w:rsidRPr="006C4BDF" w:rsidP="006C4BDF">
            <w:pPr>
              <w:pStyle w:val="BodyText"/>
            </w:pPr>
            <w:r w:rsidRPr="006C4BDF">
              <w:t>The fir</w:t>
            </w:r>
            <w:r w:rsidRPr="006C4BDF">
              <w:t>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C4BDF" w:rsidP="006C4BDF">
            <w:pPr>
              <w:pStyle w:val="BodyText"/>
            </w:pPr>
            <w:r w:rsidRPr="006C4BDF">
              <w:t>No licensing, legislative or certificatio</w:t>
            </w:r>
            <w:r w:rsidRPr="006C4BDF">
              <w:t>n requirements apply to this unit at the time of publication.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3" w:name="O_1031136"/>
      <w:bookmarkEnd w:id="3"/>
      <w:r w:rsidRPr="006C4B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It is essential that the prerequisite units listed below are obtained prior to the issuance of this unit to individuals within the fire sector or the unit</w:t>
            </w:r>
            <w:r w:rsidRPr="006C4BDF">
              <w:t>s contributing to the attainment of a fire qualification.</w:t>
            </w:r>
          </w:p>
          <w:p w:rsidR="00000000" w:rsidRPr="006C4BDF" w:rsidP="006C4BDF">
            <w:pPr>
              <w:pStyle w:val="BodyText"/>
            </w:pPr>
            <w:r w:rsidRPr="006C4BDF">
              <w:t xml:space="preserve">PUAFIR609 Collect, record and coordinate the analysis of physical evidence 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4" w:name="O_1031137"/>
      <w:bookmarkEnd w:id="4"/>
      <w:r w:rsidRPr="006C4B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Fire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5" w:name="O_1031138"/>
      <w:bookmarkEnd w:id="5"/>
      <w:r w:rsidRPr="006C4B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Fire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6" w:name="O_1031139"/>
      <w:bookmarkEnd w:id="6"/>
      <w:r w:rsidRPr="006C4B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PERFORMANCE CRITERIA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Performance criteria describe the performance needed to demonstrate achievement of the element.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Evaluate results of fire scene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 xml:space="preserve">Fire scene data is collected and collated, in accordance with organisational procedures 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Data is grouped according to physical evidence groupings, samples and documented evidence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Evidence is categorised for further sampling or archiving, in accordance with organisational procedures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Nature and extent of further examination is determined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Interpret laboratory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Consultations are initiated with specialist practition</w:t>
            </w:r>
            <w:r w:rsidRPr="006C4BDF">
              <w:t>ers to review preliminary evaluations and to validate data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Common features and trends in data findings are identified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Options are explored as to possible origin and cause of fire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Analyse documentary and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Potential causal physical evidence is examined in light of research data emerging from laboratory examination and technical analyses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Written reports and visual images are collected and reviewed in parallel with established scientific findings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Consultations are initiated with specialist practitioners, as required</w:t>
            </w:r>
          </w:p>
        </w:tc>
      </w:tr>
      <w:tr w:rsidTr="006C4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Physical evidence determined relative to fire origin and cause is identified, labelled, packaged and stored, in accordance with organisational procedures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7" w:name="O_1031140"/>
      <w:bookmarkEnd w:id="7"/>
      <w:r w:rsidRPr="006C4B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Foundation skills essential to performance are explicit in the performance criteria of this unit of competency.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8" w:name="O_1031141"/>
      <w:bookmarkEnd w:id="8"/>
      <w:r w:rsidRPr="006C4B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Range is restricted to essential operating conditions and any other variables essenti</w:t>
            </w:r>
            <w:r w:rsidRPr="006C4BDF">
              <w:t>al to the work environment.</w:t>
            </w:r>
          </w:p>
          <w:p w:rsidR="00000000" w:rsidRPr="006C4BDF" w:rsidP="006C4BDF">
            <w:pPr>
              <w:pStyle w:val="BodyText"/>
            </w:pPr>
            <w:r w:rsidRPr="006C4BDF">
              <w:t>Non-essential conditions may be found in the Companion Volume Implementation Guide.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9" w:name="O_1031142"/>
      <w:bookmarkEnd w:id="9"/>
      <w:r w:rsidRPr="006C4B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>This unit replaces and is equivalent to PUAFIR611A Process and analyse fire scene data and laborat</w:t>
            </w:r>
            <w:r w:rsidRPr="006C4BDF">
              <w:t>ory results.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10" w:name="O_1031149"/>
      <w:bookmarkEnd w:id="10"/>
      <w:r w:rsidRPr="006C4BDF">
        <w:t>Links</w:t>
      </w:r>
    </w:p>
    <w:p w:rsidR="00000000" w:rsidRPr="006C4BDF" w:rsidP="00F957F6">
      <w:pPr>
        <w:pStyle w:val="BodyText"/>
      </w:pPr>
      <w:r w:rsidRPr="006C4BD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17A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4BDF" w:rsidP="00F957F6">
      <w:pPr>
        <w:pStyle w:val="BodyText"/>
        <w:sectPr w:rsidSect="006C4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BDF" w:rsidP="006C4BDF">
      <w:pPr>
        <w:pStyle w:val="SuperHeading"/>
      </w:pPr>
      <w:r w:rsidRPr="006C4BDF">
        <w:t>Assessment Requirements for PUAFIR611 Process and analyse fire scene data and laboratory results</w:t>
      </w:r>
    </w:p>
    <w:p w:rsidR="00000000" w:rsidRPr="006C4BDF" w:rsidP="006C4BDF">
      <w:pPr>
        <w:pStyle w:val="Heading1"/>
      </w:pPr>
      <w:bookmarkStart w:id="11" w:name="O_1031144"/>
      <w:bookmarkEnd w:id="11"/>
      <w:r w:rsidRPr="006C4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rPr>
                <w:rStyle w:val="SpecialBold"/>
              </w:rPr>
              <w:t>Release 1.</w:t>
            </w:r>
            <w:r w:rsidRPr="006C4BDF">
              <w:t xml:space="preserve"> This is the first release of this unit of competency in the PUA Public Safety Training Package.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12" w:name="O_1031145"/>
      <w:bookmarkEnd w:id="12"/>
      <w:r w:rsidRPr="006C4B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ListBullet"/>
            </w:pPr>
            <w:r w:rsidRPr="006C4BDF">
              <w:t>analysing documentary and physical</w:t>
            </w:r>
            <w:r w:rsidRPr="006C4BDF">
              <w:t xml:space="preserve"> evidence</w:t>
            </w:r>
          </w:p>
          <w:p w:rsidR="00000000" w:rsidRPr="006C4BDF" w:rsidP="006C4BDF">
            <w:pPr>
              <w:pStyle w:val="ListBullet"/>
            </w:pPr>
            <w:r w:rsidRPr="006C4BDF">
              <w:t>applying Work, Health and Safety (WHS)/Occupational Health and Safety (OHS) requirements</w:t>
            </w:r>
          </w:p>
          <w:p w:rsidR="00000000" w:rsidRPr="006C4BDF" w:rsidP="006C4BDF">
            <w:pPr>
              <w:pStyle w:val="ListBullet"/>
            </w:pPr>
            <w:r w:rsidRPr="006C4BDF">
              <w:t>evaluating results of fire scene data</w:t>
            </w:r>
          </w:p>
          <w:p w:rsidR="00000000" w:rsidRPr="006C4BDF" w:rsidP="006C4BDF">
            <w:pPr>
              <w:pStyle w:val="ListBullet"/>
            </w:pPr>
            <w:r w:rsidRPr="006C4BDF">
              <w:t>handling exhibits and preserving continuity of evidence</w:t>
            </w:r>
          </w:p>
          <w:p w:rsidR="00000000" w:rsidRPr="006C4BDF" w:rsidP="006C4BDF">
            <w:pPr>
              <w:pStyle w:val="ListBullet"/>
            </w:pPr>
            <w:r w:rsidRPr="006C4BDF">
              <w:t>identifying, analysing and using data</w:t>
            </w:r>
          </w:p>
          <w:p w:rsidR="00000000" w:rsidRPr="006C4BDF" w:rsidP="006C4BDF">
            <w:pPr>
              <w:pStyle w:val="ListBullet"/>
            </w:pPr>
            <w:r w:rsidRPr="006C4BDF">
              <w:t>implementing organisational procedures</w:t>
            </w:r>
          </w:p>
          <w:p w:rsidR="00000000" w:rsidRPr="006C4BDF" w:rsidP="006C4BDF">
            <w:pPr>
              <w:pStyle w:val="ListBullet"/>
            </w:pPr>
            <w:r w:rsidRPr="006C4BDF">
              <w:t>interpreting laboratory results and findings</w:t>
            </w:r>
          </w:p>
          <w:p w:rsidR="00000000" w:rsidRPr="006C4BDF" w:rsidP="006C4BDF">
            <w:pPr>
              <w:pStyle w:val="ListBullet"/>
            </w:pPr>
            <w:r w:rsidRPr="006C4BDF">
              <w:t>maximising potential evidentiary value of physical evidence collected</w:t>
            </w:r>
          </w:p>
          <w:p w:rsidR="00000000" w:rsidRPr="006C4BDF" w:rsidP="006C4BDF">
            <w:pPr>
              <w:pStyle w:val="ListBullet"/>
            </w:pPr>
            <w:r w:rsidRPr="006C4BDF">
              <w:t>packaging and storing physical evidence</w:t>
            </w:r>
          </w:p>
          <w:p w:rsidR="00000000" w:rsidRPr="006C4BDF" w:rsidP="006C4BDF">
            <w:pPr>
              <w:pStyle w:val="ListBullet"/>
            </w:pPr>
            <w:r w:rsidRPr="006C4BDF">
              <w:t xml:space="preserve">solving problems and making decisions in relation to forensic </w:t>
            </w:r>
            <w:r w:rsidRPr="006C4BDF">
              <w:t>investigation contexts</w:t>
            </w:r>
          </w:p>
          <w:p w:rsidR="00000000" w:rsidRPr="006C4BDF" w:rsidP="006C4BDF">
            <w:pPr>
              <w:pStyle w:val="ListBullet"/>
            </w:pPr>
            <w:r w:rsidRPr="006C4BDF">
              <w:t>working with a range of specialist practitioners and stakeholders</w:t>
            </w:r>
          </w:p>
          <w:p w:rsidR="00000000" w:rsidRPr="006C4BDF" w:rsidP="006C4BDF">
            <w:pPr>
              <w:pStyle w:val="ListBullet"/>
            </w:pPr>
            <w:r w:rsidRPr="006C4BDF">
              <w:t>writing reports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13" w:name="O_1031146"/>
      <w:bookmarkEnd w:id="13"/>
      <w:r w:rsidRPr="006C4B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BDF">
            <w:pPr>
              <w:pStyle w:val="BodyText"/>
              <w:rPr>
                <w:lang w:val="en-NZ"/>
              </w:rPr>
            </w:pPr>
            <w:r w:rsidRPr="006C4BD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ListBullet"/>
            </w:pPr>
            <w:r w:rsidRPr="006C4BDF">
              <w:t>application of approved scientific methods to analyse fire scene evidence</w:t>
            </w:r>
          </w:p>
          <w:p w:rsidR="00000000" w:rsidRPr="006C4BDF" w:rsidP="006C4BDF">
            <w:pPr>
              <w:pStyle w:val="ListBullet"/>
            </w:pPr>
            <w:r w:rsidRPr="006C4BDF">
              <w:t>leg</w:t>
            </w:r>
            <w:r w:rsidRPr="006C4BDF">
              <w:t>islative, policy, procedural and quality system requirements for the collection, preservation, security, continuity, receipt and disposal of evidence</w:t>
            </w:r>
          </w:p>
          <w:p w:rsidR="00000000" w:rsidRPr="006C4BDF" w:rsidP="006C4BDF">
            <w:pPr>
              <w:pStyle w:val="ListBullet"/>
            </w:pPr>
            <w:r w:rsidRPr="006C4BDF">
              <w:t>organisational documentation, policies and procedures including guidelines</w:t>
            </w:r>
          </w:p>
          <w:p w:rsidR="00000000" w:rsidRPr="006C4BDF" w:rsidP="006C4BDF">
            <w:pPr>
              <w:pStyle w:val="ListBullet"/>
            </w:pPr>
            <w:r w:rsidRPr="006C4BDF">
              <w:t>physical evidence packaging and</w:t>
            </w:r>
            <w:r w:rsidRPr="006C4BDF">
              <w:t xml:space="preserve"> storing including drying of wet exhibits, exhibit labels, packaging medium, physical nature of exhibit, storage temperature and tamper evident seals</w:t>
            </w:r>
          </w:p>
          <w:p w:rsidR="00000000" w:rsidRPr="006C4BDF" w:rsidP="006C4BDF">
            <w:pPr>
              <w:pStyle w:val="ListBullet"/>
            </w:pPr>
            <w:r w:rsidRPr="006C4BDF">
              <w:t>processes for packaging and storing of evidence</w:t>
            </w:r>
          </w:p>
          <w:p w:rsidR="00000000" w:rsidRPr="006C4BDF" w:rsidP="006C4BDF">
            <w:pPr>
              <w:pStyle w:val="ListBullet"/>
            </w:pPr>
            <w:r w:rsidRPr="006C4BDF">
              <w:t>range of services available to assist laboratory examinati</w:t>
            </w:r>
            <w:r w:rsidRPr="006C4BDF">
              <w:t>on and interpretation of physical evidence</w:t>
            </w:r>
          </w:p>
          <w:p w:rsidR="00000000" w:rsidRPr="006C4BDF" w:rsidP="006C4BDF">
            <w:pPr>
              <w:pStyle w:val="ListBullet"/>
            </w:pPr>
            <w:r w:rsidRPr="006C4BDF">
              <w:t>role and functions of forensic discipline specialists in laboratory examination of physical evidence</w:t>
            </w:r>
          </w:p>
          <w:p w:rsidR="00000000" w:rsidRPr="006C4BDF" w:rsidP="006C4BDF">
            <w:pPr>
              <w:pStyle w:val="ListBullet"/>
            </w:pPr>
            <w:r w:rsidRPr="006C4BDF">
              <w:t>specialist practitioners including emergency services personnel, forensic and industry scientists and police</w:t>
            </w:r>
          </w:p>
          <w:p w:rsidR="00000000" w:rsidRPr="006C4BDF" w:rsidP="006C4BDF">
            <w:pPr>
              <w:pStyle w:val="ListBullet"/>
            </w:pPr>
            <w:r w:rsidRPr="006C4BDF">
              <w:t>typ</w:t>
            </w:r>
            <w:r w:rsidRPr="006C4BDF">
              <w:t>es of data to be collected and analysed</w:t>
            </w:r>
          </w:p>
          <w:p w:rsidR="00000000" w:rsidRPr="006C4BDF" w:rsidP="006C4BDF">
            <w:pPr>
              <w:pStyle w:val="ListBullet"/>
            </w:pPr>
            <w:r w:rsidRPr="006C4BDF">
              <w:t>types of physical evidence</w:t>
            </w:r>
          </w:p>
          <w:p w:rsidR="00000000" w:rsidRPr="006C4BDF" w:rsidP="006C4BDF">
            <w:pPr>
              <w:pStyle w:val="ListBullet"/>
            </w:pPr>
            <w:r w:rsidRPr="006C4BDF">
              <w:t xml:space="preserve">Work, Health and Safety (WHS)/Occupational Health and Safety (OHS) requirements including risk mitigation and practices to be followed when handling physical evidence 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14" w:name="O_1031147"/>
      <w:bookmarkEnd w:id="14"/>
      <w:r w:rsidRPr="006C4B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4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BDF" w:rsidP="006C4BDF">
            <w:pPr>
              <w:pStyle w:val="BodyText"/>
            </w:pPr>
            <w:r w:rsidRPr="006C4BD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C4BDF" w:rsidP="006C4BDF">
            <w:pPr>
              <w:pStyle w:val="BodyText"/>
            </w:pPr>
            <w:r w:rsidRPr="006C4BDF">
              <w:t>As a minimum, assessment must satisfy appli</w:t>
            </w:r>
            <w:r w:rsidRPr="006C4BDF">
              <w:t>cable regulatory requirements, which include requirements in the Standards for Registered Training Organisations current at the time of assessment.</w:t>
            </w:r>
          </w:p>
          <w:p w:rsidR="00000000" w:rsidRPr="006C4BDF" w:rsidP="006C4BDF">
            <w:pPr>
              <w:pStyle w:val="BodyText"/>
            </w:pPr>
            <w:r w:rsidRPr="006C4BDF">
              <w:t xml:space="preserve">Assessment processes and techniques must be appropriate to the language, literacy and numeracy requirements </w:t>
            </w:r>
            <w:r w:rsidRPr="006C4BDF">
              <w:t>of the work being performed and the needs of the candidate.</w:t>
            </w:r>
          </w:p>
          <w:p w:rsidR="00000000" w:rsidRPr="006C4BDF" w:rsidP="006C4BDF">
            <w:pPr>
              <w:pStyle w:val="BodyText"/>
            </w:pPr>
            <w:r w:rsidRPr="006C4BDF">
              <w:t>Assessment must occur in workplace operational situations. Where this is not appropriate, assessment must occur in industry approved simulated workplace operational situations that reflect workpla</w:t>
            </w:r>
            <w:r w:rsidRPr="006C4BDF">
              <w:t>ce conditions.</w:t>
            </w:r>
          </w:p>
          <w:p w:rsidR="00000000" w:rsidRPr="006C4BDF" w:rsidP="006C4BDF">
            <w:pPr>
              <w:pStyle w:val="BodyText"/>
            </w:pPr>
            <w:r w:rsidRPr="006C4BDF">
              <w:t>Resources for assessment must include access to</w:t>
            </w:r>
          </w:p>
          <w:p w:rsidR="00000000" w:rsidRPr="006C4BDF" w:rsidP="006C4BDF">
            <w:pPr>
              <w:pStyle w:val="ListBullet"/>
            </w:pPr>
            <w:r w:rsidRPr="006C4BDF">
              <w:t>a range of relevant exercises, case studies and/or simulations</w:t>
            </w:r>
          </w:p>
          <w:p w:rsidR="00000000" w:rsidRPr="006C4BDF" w:rsidP="006C4BDF">
            <w:pPr>
              <w:pStyle w:val="ListBullet"/>
            </w:pPr>
            <w:r w:rsidRPr="006C4BDF">
              <w:t xml:space="preserve">relevant and appropriate materials, equipment, tools and personal protective clothing and equipment currently used in industry </w:t>
            </w:r>
          </w:p>
          <w:p w:rsidR="00000000" w:rsidRPr="006C4BDF" w:rsidP="006C4BDF">
            <w:pPr>
              <w:pStyle w:val="ListBullet"/>
            </w:pPr>
            <w:r w:rsidRPr="006C4BDF">
              <w:t>a</w:t>
            </w:r>
            <w:r w:rsidRPr="006C4BDF">
              <w:t xml:space="preserve">pplicable documentation including organisational procedures, industry standards, equipment specifications, regulations, codes of practice and operation manuals.  </w:t>
            </w:r>
          </w:p>
        </w:tc>
      </w:tr>
    </w:tbl>
    <w:p w:rsidR="00000000" w:rsidRPr="006C4BDF" w:rsidP="006C4BDF">
      <w:pPr>
        <w:pStyle w:val="NoPaddingFontSize1"/>
      </w:pPr>
    </w:p>
    <w:p w:rsidR="00000000" w:rsidRPr="006C4BDF" w:rsidP="006C4BDF">
      <w:pPr>
        <w:pStyle w:val="AllowPageBreak"/>
      </w:pPr>
    </w:p>
    <w:p w:rsidR="00000000" w:rsidRPr="006C4BDF" w:rsidP="006C4BDF">
      <w:pPr>
        <w:pStyle w:val="Heading1"/>
      </w:pPr>
      <w:bookmarkStart w:id="15" w:name="O_1031150"/>
      <w:bookmarkEnd w:id="15"/>
      <w:r w:rsidRPr="006C4BDF">
        <w:t>Links</w:t>
      </w:r>
    </w:p>
    <w:p w:rsidR="00000000" w:rsidRPr="006C4BDF" w:rsidP="00F957F6">
      <w:pPr>
        <w:pStyle w:val="BodyText"/>
      </w:pPr>
      <w:r w:rsidRPr="006C4BD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17A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4BDF" w:rsidP="006C4BDF"/>
    <w:sectPr w:rsidSect="006C4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 w:rsidRPr="00F957F6" w:rsidP="00F95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F6" w:rsidP="006C4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7F6" w:rsidP="006C4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957F6" w:rsidP="006C4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 w:rsidP="006C4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7F6">
      <w:t>Approved</w:t>
    </w:r>
    <w:r w:rsidR="00F957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7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7F6">
      <w:rPr>
        <w:noProof/>
      </w:rPr>
      <w:t>4</w:t>
    </w:r>
    <w:r>
      <w:rPr>
        <w:noProof/>
      </w:rPr>
      <w:fldChar w:fldCharType="end"/>
    </w:r>
  </w:p>
  <w:p w:rsidR="006C4BDF" w:rsidP="006C4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7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7F6">
      <w:t>Public Skills Australia</w:t>
    </w:r>
    <w:r w:rsidR="00F957F6">
      <w:fldChar w:fldCharType="end"/>
    </w:r>
  </w:p>
  <w:p w:rsidR="006C4BDF" w:rsidP="006C4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BDF" w:rsidRPr="00F957F6" w:rsidP="00F95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F6" w:rsidRPr="002D2AF8" w:rsidP="006C4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PUAFIR611 Process and analyse fire scene data and laboratory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7F6" w:rsidP="006C4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DF" w:rsidRPr="002D2AF8" w:rsidP="006C4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7F6">
      <w:t>PUAFIR611 Process and analyse fire scene data and laboratory results</w:t>
    </w:r>
    <w:r w:rsidR="00F957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7F6">
      <w:rPr>
        <w:noProof/>
      </w:rPr>
      <w:t>2 March 2025</w:t>
    </w:r>
    <w:r>
      <w:fldChar w:fldCharType="end"/>
    </w:r>
  </w:p>
  <w:p w:rsidR="006C4BDF" w:rsidP="006C4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8E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8E8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BDF"/>
  </w:style>
  <w:style w:type="character" w:customStyle="1" w:styleId="Heading1Char">
    <w:name w:val="Heading 1 Char"/>
    <w:basedOn w:val="DefaultParagraphFont"/>
    <w:link w:val="Heading1"/>
    <w:rsid w:val="006C4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BDF"/>
    <w:rPr>
      <w:b/>
      <w:spacing w:val="0"/>
    </w:rPr>
  </w:style>
  <w:style w:type="paragraph" w:customStyle="1" w:styleId="SuperHeading">
    <w:name w:val="SuperHeading"/>
    <w:basedOn w:val="Normal"/>
    <w:rsid w:val="006C4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4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BDF"/>
    <w:rPr>
      <w:i/>
    </w:rPr>
  </w:style>
  <w:style w:type="paragraph" w:styleId="Caption">
    <w:name w:val="caption"/>
    <w:basedOn w:val="BodyText"/>
    <w:next w:val="Normal"/>
    <w:qFormat/>
    <w:rsid w:val="006C4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BDF"/>
  </w:style>
  <w:style w:type="paragraph" w:styleId="TableofFigures">
    <w:name w:val="table of figures"/>
    <w:basedOn w:val="Normal"/>
    <w:next w:val="Normal"/>
    <w:semiHidden/>
    <w:rsid w:val="006C4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BDF"/>
    <w:rPr>
      <w:rFonts w:ascii="Wingdings" w:hAnsi="Wingdings"/>
    </w:rPr>
  </w:style>
  <w:style w:type="paragraph" w:customStyle="1" w:styleId="TableHeading">
    <w:name w:val="Table Heading"/>
    <w:basedOn w:val="HeadingBase"/>
    <w:rsid w:val="006C4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BDF"/>
    <w:rPr>
      <w:color w:val="0033CC"/>
      <w:u w:val="none"/>
    </w:rPr>
  </w:style>
  <w:style w:type="paragraph" w:customStyle="1" w:styleId="BodyTextRight">
    <w:name w:val="Body Text Right"/>
    <w:basedOn w:val="BodyText"/>
    <w:rsid w:val="006C4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BDF"/>
    <w:rPr>
      <w:sz w:val="32"/>
    </w:rPr>
  </w:style>
  <w:style w:type="paragraph" w:customStyle="1" w:styleId="HeadingProcedure">
    <w:name w:val="Heading Procedure"/>
    <w:basedOn w:val="HeadingBase"/>
    <w:next w:val="Normal"/>
    <w:rsid w:val="006C4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BDF"/>
    <w:pPr>
      <w:spacing w:before="60" w:after="60"/>
    </w:pPr>
  </w:style>
  <w:style w:type="paragraph" w:styleId="ListContinue">
    <w:name w:val="List Continue"/>
    <w:basedOn w:val="List"/>
    <w:rsid w:val="006C4BDF"/>
    <w:pPr>
      <w:ind w:firstLine="0"/>
    </w:pPr>
  </w:style>
  <w:style w:type="paragraph" w:customStyle="1" w:styleId="ListNote">
    <w:name w:val="List Note"/>
    <w:basedOn w:val="List"/>
    <w:rsid w:val="006C4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BDF"/>
    <w:rPr>
      <w:rFonts w:ascii="Courier New" w:hAnsi="Courier New"/>
    </w:rPr>
  </w:style>
  <w:style w:type="paragraph" w:customStyle="1" w:styleId="NoteBullet">
    <w:name w:val="Note Bullet"/>
    <w:basedOn w:val="Note"/>
    <w:rsid w:val="006C4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BDF"/>
    <w:rPr>
      <w:b/>
      <w:smallCaps/>
    </w:rPr>
  </w:style>
  <w:style w:type="paragraph" w:customStyle="1" w:styleId="TableListNumber">
    <w:name w:val="Table List Number"/>
    <w:basedOn w:val="ListNumber"/>
    <w:rsid w:val="006C4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BDF"/>
    <w:pPr>
      <w:numPr>
        <w:numId w:val="8"/>
      </w:numPr>
    </w:pPr>
  </w:style>
  <w:style w:type="paragraph" w:customStyle="1" w:styleId="ListAlpha2">
    <w:name w:val="List Alpha 2"/>
    <w:basedOn w:val="List2"/>
    <w:rsid w:val="006C4BDF"/>
    <w:pPr>
      <w:numPr>
        <w:numId w:val="7"/>
      </w:numPr>
    </w:pPr>
  </w:style>
  <w:style w:type="paragraph" w:styleId="List2">
    <w:name w:val="List 2"/>
    <w:basedOn w:val="BodyText"/>
    <w:rsid w:val="006C4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BDF"/>
    <w:pPr>
      <w:numPr>
        <w:numId w:val="3"/>
      </w:numPr>
    </w:pPr>
  </w:style>
  <w:style w:type="paragraph" w:styleId="ListContinue2">
    <w:name w:val="List Continue 2"/>
    <w:basedOn w:val="List2"/>
    <w:rsid w:val="006C4BDF"/>
    <w:pPr>
      <w:ind w:firstLine="0"/>
    </w:pPr>
  </w:style>
  <w:style w:type="paragraph" w:styleId="ListContinue3">
    <w:name w:val="List Continue 3"/>
    <w:basedOn w:val="List3"/>
    <w:rsid w:val="006C4BDF"/>
    <w:pPr>
      <w:ind w:left="1021" w:firstLine="0"/>
    </w:pPr>
  </w:style>
  <w:style w:type="paragraph" w:styleId="ListContinue4">
    <w:name w:val="List Continue 4"/>
    <w:basedOn w:val="List4"/>
    <w:rsid w:val="006C4BDF"/>
    <w:pPr>
      <w:ind w:firstLine="0"/>
    </w:pPr>
  </w:style>
  <w:style w:type="paragraph" w:styleId="ListContinue5">
    <w:name w:val="List Continue 5"/>
    <w:basedOn w:val="List5"/>
    <w:rsid w:val="006C4BDF"/>
    <w:pPr>
      <w:ind w:firstLine="0"/>
    </w:pPr>
  </w:style>
  <w:style w:type="paragraph" w:styleId="ListNumber3">
    <w:name w:val="List Number 3"/>
    <w:basedOn w:val="List3"/>
    <w:rsid w:val="006C4BDF"/>
    <w:pPr>
      <w:numPr>
        <w:numId w:val="4"/>
      </w:numPr>
    </w:pPr>
  </w:style>
  <w:style w:type="paragraph" w:styleId="ListNumber4">
    <w:name w:val="List Number 4"/>
    <w:basedOn w:val="List4"/>
    <w:rsid w:val="006C4BDF"/>
    <w:pPr>
      <w:numPr>
        <w:numId w:val="5"/>
      </w:numPr>
    </w:pPr>
  </w:style>
  <w:style w:type="paragraph" w:styleId="ListNumber5">
    <w:name w:val="List Number 5"/>
    <w:basedOn w:val="List5"/>
    <w:rsid w:val="006C4BDF"/>
    <w:pPr>
      <w:numPr>
        <w:numId w:val="6"/>
      </w:numPr>
    </w:pPr>
  </w:style>
  <w:style w:type="paragraph" w:styleId="BlockText">
    <w:name w:val="Block Text"/>
    <w:basedOn w:val="Normal"/>
    <w:rsid w:val="006C4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BDF"/>
    <w:rPr>
      <w:sz w:val="16"/>
      <w:vertAlign w:val="superscript"/>
    </w:rPr>
  </w:style>
  <w:style w:type="character" w:customStyle="1" w:styleId="Symbols">
    <w:name w:val="Symbols"/>
    <w:basedOn w:val="DefaultParagraphFont"/>
    <w:rsid w:val="006C4BDF"/>
    <w:rPr>
      <w:rFonts w:ascii="Symbol" w:hAnsi="Symbol"/>
    </w:rPr>
  </w:style>
  <w:style w:type="character" w:customStyle="1" w:styleId="MenuOptions">
    <w:name w:val="Menu Options"/>
    <w:basedOn w:val="DefaultParagraphFont"/>
    <w:rsid w:val="006C4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BDF"/>
    <w:rPr>
      <w:b/>
    </w:rPr>
  </w:style>
  <w:style w:type="character" w:customStyle="1" w:styleId="Underlined">
    <w:name w:val="Underlined"/>
    <w:basedOn w:val="DefaultParagraphFont"/>
    <w:rsid w:val="006C4BDF"/>
    <w:rPr>
      <w:u w:val="single"/>
    </w:rPr>
  </w:style>
  <w:style w:type="paragraph" w:customStyle="1" w:styleId="TableBodyTextRight">
    <w:name w:val="Table Body Text Right"/>
    <w:basedOn w:val="TableBodyText"/>
    <w:rsid w:val="006C4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BDF"/>
    <w:rPr>
      <w:sz w:val="18"/>
    </w:rPr>
  </w:style>
  <w:style w:type="paragraph" w:customStyle="1" w:styleId="BodySmallRight">
    <w:name w:val="Body Small Right"/>
    <w:basedOn w:val="BodyTextRight"/>
    <w:rsid w:val="006C4BDF"/>
    <w:rPr>
      <w:sz w:val="18"/>
      <w:szCs w:val="18"/>
    </w:rPr>
  </w:style>
  <w:style w:type="paragraph" w:customStyle="1" w:styleId="MarginEdition">
    <w:name w:val="Margin Edition"/>
    <w:basedOn w:val="MarginNote"/>
    <w:rsid w:val="006C4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BDF"/>
    <w:rPr>
      <w:sz w:val="2"/>
      <w:szCs w:val="2"/>
    </w:rPr>
  </w:style>
  <w:style w:type="character" w:customStyle="1" w:styleId="Small">
    <w:name w:val="Small"/>
    <w:basedOn w:val="DefaultParagraphFont"/>
    <w:rsid w:val="006C4BDF"/>
    <w:rPr>
      <w:sz w:val="16"/>
    </w:rPr>
  </w:style>
  <w:style w:type="paragraph" w:customStyle="1" w:styleId="WideTable">
    <w:name w:val="Wide Table"/>
    <w:basedOn w:val="Normal"/>
    <w:rsid w:val="006C4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BDF"/>
  </w:style>
  <w:style w:type="paragraph" w:styleId="Quote">
    <w:name w:val="Quote"/>
    <w:basedOn w:val="Heading1"/>
    <w:link w:val="QuoteChar"/>
    <w:qFormat/>
    <w:rsid w:val="006C4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BDF"/>
    <w:pPr>
      <w:pageBreakBefore/>
    </w:pPr>
  </w:style>
  <w:style w:type="paragraph" w:customStyle="1" w:styleId="Border">
    <w:name w:val="Border"/>
    <w:basedOn w:val="Normal"/>
    <w:qFormat/>
    <w:rsid w:val="006C4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BDF"/>
    <w:rPr>
      <w:u w:val="single"/>
    </w:rPr>
  </w:style>
  <w:style w:type="character" w:customStyle="1" w:styleId="BoldandItalics">
    <w:name w:val="Bold and Italics"/>
    <w:qFormat/>
    <w:rsid w:val="006C4BDF"/>
    <w:rPr>
      <w:b/>
      <w:i/>
      <w:u w:val="none"/>
    </w:rPr>
  </w:style>
  <w:style w:type="paragraph" w:styleId="BalloonText">
    <w:name w:val="Balloon Text"/>
    <w:basedOn w:val="Normal"/>
    <w:link w:val="BalloonTextChar"/>
    <w:rsid w:val="006C4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BDF"/>
    <w:pPr>
      <w:spacing w:before="0" w:after="0"/>
    </w:pPr>
  </w:style>
  <w:style w:type="paragraph" w:customStyle="1" w:styleId="BodyTextBold">
    <w:name w:val="Body Text Bold"/>
    <w:basedOn w:val="BodyText"/>
    <w:qFormat/>
    <w:rsid w:val="006C4BDF"/>
    <w:rPr>
      <w:b/>
    </w:rPr>
  </w:style>
  <w:style w:type="character" w:styleId="Hyperlink">
    <w:name w:val="Hyperlink"/>
    <w:basedOn w:val="DefaultParagraphFont"/>
    <w:uiPriority w:val="99"/>
    <w:unhideWhenUsed/>
    <w:rsid w:val="00F95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6551</Characters>
  <Application>Microsoft Office Word</Application>
  <DocSecurity>0</DocSecurity>
  <Lines>211</Lines>
  <Paragraphs>119</Paragraphs>
  <ScaleCrop>false</ScaleCrop>
  <Company>Author-it Software Corporation Ltd.</Company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PUAFIR611 Process and analyse fire scene data and laboratory results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