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B74" w:rsidP="002C7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PUAFIR609 Collect, record and coordinate the analysis of physical evidence</w:t>
      </w:r>
      <w:r>
        <w:fldChar w:fldCharType="end"/>
      </w:r>
    </w:p>
    <w:p w:rsidR="002C7B74" w:rsidP="002C7B74">
      <w:pPr>
        <w:pStyle w:val="Version"/>
        <w:sectPr w:rsidSect="00255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D0F" w:rsidP="00255D0F">
      <w:pPr>
        <w:pStyle w:val="SuperHeading"/>
      </w:pPr>
      <w:r w:rsidRPr="00255D0F">
        <w:t>Assessment Requirements for PUAFIR609 Collect, record and coordinate the analysis of physical evidence</w:t>
      </w:r>
    </w:p>
    <w:p w:rsidR="00000000" w:rsidRPr="00255D0F" w:rsidP="00255D0F">
      <w:pPr>
        <w:pStyle w:val="Heading1"/>
      </w:pPr>
      <w:bookmarkStart w:id="1" w:name="O_1031106"/>
      <w:bookmarkEnd w:id="1"/>
      <w:r w:rsidRPr="00255D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F" w:rsidP="00255D0F">
            <w:pPr>
              <w:pStyle w:val="BodyText"/>
            </w:pPr>
            <w:r w:rsidRPr="00255D0F">
              <w:rPr>
                <w:rStyle w:val="SpecialBold"/>
              </w:rPr>
              <w:t>Release 1.</w:t>
            </w:r>
            <w:r w:rsidRPr="00255D0F">
              <w:t xml:space="preserve"> This is the first release of this unit of competency in the PUA Public Safety Training Package.</w:t>
            </w:r>
          </w:p>
        </w:tc>
      </w:tr>
    </w:tbl>
    <w:p w:rsidR="00000000" w:rsidRPr="00255D0F" w:rsidP="00255D0F">
      <w:pPr>
        <w:pStyle w:val="NoPaddingFontSize1"/>
      </w:pPr>
    </w:p>
    <w:p w:rsidR="00000000" w:rsidRPr="00255D0F" w:rsidP="00255D0F">
      <w:pPr>
        <w:pStyle w:val="AllowPageBreak"/>
      </w:pPr>
    </w:p>
    <w:p w:rsidR="00000000" w:rsidRPr="00255D0F" w:rsidP="00255D0F">
      <w:pPr>
        <w:pStyle w:val="Heading1"/>
      </w:pPr>
      <w:bookmarkStart w:id="2" w:name="O_1031107"/>
      <w:bookmarkEnd w:id="2"/>
      <w:r w:rsidRPr="00255D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D0F">
            <w:pPr>
              <w:pStyle w:val="BodyText"/>
              <w:rPr>
                <w:lang w:val="en-NZ"/>
              </w:rPr>
            </w:pPr>
            <w:r w:rsidRPr="00255D0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F" w:rsidP="00255D0F">
            <w:pPr>
              <w:pStyle w:val="ListBullet"/>
            </w:pPr>
            <w:r w:rsidRPr="00255D0F">
              <w:t>applying Work, Health and</w:t>
            </w:r>
            <w:r w:rsidRPr="00255D0F">
              <w:t xml:space="preserve"> Safety (WHS)/Occupational Health and Safety (OHS) organisational requirements</w:t>
            </w:r>
          </w:p>
          <w:p w:rsidR="00000000" w:rsidRPr="00255D0F" w:rsidP="00255D0F">
            <w:pPr>
              <w:pStyle w:val="ListBullet"/>
            </w:pPr>
            <w:r w:rsidRPr="00255D0F">
              <w:t>collaborating with technical specialists</w:t>
            </w:r>
          </w:p>
          <w:p w:rsidR="00000000" w:rsidRPr="00255D0F" w:rsidP="00255D0F">
            <w:pPr>
              <w:pStyle w:val="ListBullet"/>
            </w:pPr>
            <w:r w:rsidRPr="00255D0F">
              <w:t>collecting, recording and labelling physical evidence sufficient for analysis</w:t>
            </w:r>
          </w:p>
          <w:p w:rsidR="00000000" w:rsidRPr="00255D0F" w:rsidP="00255D0F">
            <w:pPr>
              <w:pStyle w:val="ListBullet"/>
            </w:pPr>
            <w:r w:rsidRPr="00255D0F">
              <w:t xml:space="preserve">collecting, packaging and preserving physical evidence to </w:t>
            </w:r>
            <w:r w:rsidRPr="00255D0F">
              <w:t>ensure continuity of evidence</w:t>
            </w:r>
          </w:p>
          <w:p w:rsidR="00000000" w:rsidRPr="00255D0F" w:rsidP="00255D0F">
            <w:pPr>
              <w:pStyle w:val="ListBullet"/>
            </w:pPr>
            <w:r w:rsidRPr="00255D0F">
              <w:t>collating quantity and quality of samples</w:t>
            </w:r>
          </w:p>
          <w:p w:rsidR="00000000" w:rsidRPr="00255D0F" w:rsidP="00255D0F">
            <w:pPr>
              <w:pStyle w:val="ListBullet"/>
            </w:pPr>
            <w:r w:rsidRPr="00255D0F">
              <w:t>coordinating and conducting analysis processes</w:t>
            </w:r>
          </w:p>
          <w:p w:rsidR="00000000" w:rsidRPr="00255D0F" w:rsidP="00255D0F">
            <w:pPr>
              <w:pStyle w:val="ListBullet"/>
            </w:pPr>
            <w:r w:rsidRPr="00255D0F">
              <w:t>disposing of evidence correctly</w:t>
            </w:r>
          </w:p>
          <w:p w:rsidR="00000000" w:rsidRPr="00255D0F" w:rsidP="00255D0F">
            <w:pPr>
              <w:pStyle w:val="ListBullet"/>
            </w:pPr>
            <w:r w:rsidRPr="00255D0F">
              <w:t xml:space="preserve">evaluating scene and determining investigation plan </w:t>
            </w:r>
          </w:p>
          <w:p w:rsidR="00000000" w:rsidRPr="00255D0F" w:rsidP="00255D0F">
            <w:pPr>
              <w:pStyle w:val="ListBullet"/>
            </w:pPr>
            <w:r w:rsidRPr="00255D0F">
              <w:t xml:space="preserve">maximising evidentiary value of physical evidence </w:t>
            </w:r>
          </w:p>
          <w:p w:rsidR="00000000" w:rsidRPr="00255D0F" w:rsidP="00255D0F">
            <w:pPr>
              <w:pStyle w:val="ListBullet"/>
            </w:pPr>
            <w:r w:rsidRPr="00255D0F">
              <w:t>recording physical evidence</w:t>
            </w:r>
          </w:p>
          <w:p w:rsidR="00000000" w:rsidRPr="00255D0F" w:rsidP="00255D0F">
            <w:pPr>
              <w:pStyle w:val="ListBullet"/>
            </w:pPr>
            <w:r w:rsidRPr="00255D0F">
              <w:t>storing, processing and transporting evidence</w:t>
            </w:r>
          </w:p>
          <w:p w:rsidR="00000000" w:rsidRPr="00255D0F" w:rsidP="00255D0F">
            <w:pPr>
              <w:pStyle w:val="ListBullet"/>
            </w:pPr>
            <w:r w:rsidRPr="00255D0F">
              <w:t>utilising interviewing skills</w:t>
            </w:r>
          </w:p>
        </w:tc>
      </w:tr>
    </w:tbl>
    <w:p w:rsidR="00000000" w:rsidRPr="00255D0F" w:rsidP="00255D0F">
      <w:pPr>
        <w:pStyle w:val="NoPaddingFontSize1"/>
      </w:pPr>
    </w:p>
    <w:p w:rsidR="00000000" w:rsidRPr="00255D0F" w:rsidP="00255D0F">
      <w:pPr>
        <w:pStyle w:val="AllowPageBreak"/>
      </w:pPr>
    </w:p>
    <w:p w:rsidR="00000000" w:rsidRPr="00255D0F" w:rsidP="00255D0F">
      <w:pPr>
        <w:pStyle w:val="Heading1"/>
      </w:pPr>
      <w:bookmarkStart w:id="3" w:name="O_1031108"/>
      <w:bookmarkEnd w:id="3"/>
      <w:r w:rsidRPr="00255D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D0F">
            <w:pPr>
              <w:pStyle w:val="BodyText"/>
              <w:rPr>
                <w:lang w:val="en-NZ"/>
              </w:rPr>
            </w:pPr>
            <w:r w:rsidRPr="00255D0F">
              <w:t>Evidence required to demonstrate competence in this unit must be relevant to and satisfy all the requirements of</w:t>
            </w:r>
            <w:r w:rsidRPr="00255D0F">
              <w:t xml:space="preserve"> the elements and performance criteria and includes knowledge of</w:t>
            </w:r>
          </w:p>
        </w:tc>
      </w:tr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F" w:rsidP="00255D0F">
            <w:pPr>
              <w:pStyle w:val="ListBullet"/>
            </w:pPr>
            <w:r w:rsidRPr="00255D0F">
              <w:t>application and potential limitations of forensic investigative techniques field detection systems and resources including operation of photo ionisation detector and canines</w:t>
            </w:r>
          </w:p>
          <w:p w:rsidR="00000000" w:rsidRPr="00255D0F" w:rsidP="00255D0F">
            <w:pPr>
              <w:pStyle w:val="ListBullet"/>
            </w:pPr>
            <w:r w:rsidRPr="00255D0F">
              <w:t>collection, rec</w:t>
            </w:r>
            <w:r w:rsidRPr="00255D0F">
              <w:t>ords and continuity of physical evidence</w:t>
            </w:r>
          </w:p>
          <w:p w:rsidR="00000000" w:rsidRPr="00255D0F" w:rsidP="00255D0F">
            <w:pPr>
              <w:pStyle w:val="ListBullet"/>
            </w:pPr>
            <w:r w:rsidRPr="00255D0F">
              <w:t>context in which forensic examinations are conducted</w:t>
            </w:r>
          </w:p>
          <w:p w:rsidR="00000000" w:rsidRPr="00255D0F" w:rsidP="00255D0F">
            <w:pPr>
              <w:pStyle w:val="ListBullet"/>
            </w:pPr>
            <w:r w:rsidRPr="00255D0F">
              <w:t>documentation for recording and collecting physical evidence</w:t>
            </w:r>
          </w:p>
          <w:p w:rsidR="00000000" w:rsidRPr="00255D0F" w:rsidP="00255D0F">
            <w:pPr>
              <w:pStyle w:val="ListBullet"/>
            </w:pPr>
            <w:r w:rsidRPr="00255D0F">
              <w:t xml:space="preserve">factors for consideration when packaging and storing physical evidence  </w:t>
            </w:r>
          </w:p>
          <w:p w:rsidR="00000000" w:rsidRPr="00255D0F" w:rsidP="00255D0F">
            <w:pPr>
              <w:pStyle w:val="ListBullet"/>
            </w:pPr>
            <w:r w:rsidRPr="00255D0F">
              <w:t>interpretation of test results</w:t>
            </w:r>
          </w:p>
          <w:p w:rsidR="00000000" w:rsidRPr="00255D0F" w:rsidP="00255D0F">
            <w:pPr>
              <w:pStyle w:val="ListBullet"/>
            </w:pPr>
            <w:r w:rsidRPr="00255D0F">
              <w:t xml:space="preserve">quality and quantity of samples </w:t>
            </w:r>
          </w:p>
          <w:p w:rsidR="00000000" w:rsidRPr="00255D0F" w:rsidP="00255D0F">
            <w:pPr>
              <w:pStyle w:val="ListBullet"/>
            </w:pPr>
            <w:r w:rsidRPr="00255D0F">
              <w:t>range of techniques for recording, collecting, packaging, labelling and preserving physical evidence</w:t>
            </w:r>
          </w:p>
          <w:p w:rsidR="00000000" w:rsidRPr="00255D0F" w:rsidP="00255D0F">
            <w:pPr>
              <w:pStyle w:val="ListBullet"/>
            </w:pPr>
            <w:r w:rsidRPr="00255D0F">
              <w:t>roles and functions of forensic specialists in recording, collecting, preserving and ensuri</w:t>
            </w:r>
            <w:r w:rsidRPr="00255D0F">
              <w:t xml:space="preserve">ng </w:t>
            </w:r>
            <w:r w:rsidRPr="00255D0F">
              <w:t>continuity of physical evidence</w:t>
            </w:r>
          </w:p>
          <w:p w:rsidR="00000000" w:rsidRPr="00255D0F" w:rsidP="00255D0F">
            <w:pPr>
              <w:pStyle w:val="ListBullet"/>
            </w:pPr>
            <w:r w:rsidRPr="00255D0F">
              <w:t>organisational documentation, policies and procedures</w:t>
            </w:r>
          </w:p>
          <w:p w:rsidR="00000000" w:rsidRPr="00255D0F" w:rsidP="00255D0F">
            <w:pPr>
              <w:pStyle w:val="ListBullet"/>
            </w:pPr>
            <w:r w:rsidRPr="00255D0F">
              <w:t>security, protection and preservation of physical evidence</w:t>
            </w:r>
          </w:p>
          <w:p w:rsidR="00000000" w:rsidRPr="00255D0F" w:rsidP="00255D0F">
            <w:pPr>
              <w:pStyle w:val="ListBullet"/>
            </w:pPr>
            <w:r w:rsidRPr="00255D0F">
              <w:t>Work, Health and Safety (WHS)/Occupational Health and Safety (OHS) organisational requirements including ris</w:t>
            </w:r>
            <w:r w:rsidRPr="00255D0F">
              <w:t xml:space="preserve">k mitigation </w:t>
            </w:r>
          </w:p>
        </w:tc>
      </w:tr>
    </w:tbl>
    <w:p w:rsidR="00000000" w:rsidRPr="00255D0F" w:rsidP="00255D0F">
      <w:pPr>
        <w:pStyle w:val="NoPaddingFontSize1"/>
      </w:pPr>
    </w:p>
    <w:p w:rsidR="00000000" w:rsidRPr="00255D0F" w:rsidP="00255D0F">
      <w:pPr>
        <w:pStyle w:val="AllowPageBreak"/>
      </w:pPr>
    </w:p>
    <w:p w:rsidR="00000000" w:rsidRPr="00255D0F" w:rsidP="00255D0F">
      <w:pPr>
        <w:pStyle w:val="Heading1"/>
      </w:pPr>
      <w:bookmarkStart w:id="4" w:name="O_1031109"/>
      <w:bookmarkEnd w:id="4"/>
      <w:r w:rsidRPr="00255D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D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F" w:rsidP="00255D0F">
            <w:pPr>
              <w:pStyle w:val="BodyText"/>
            </w:pPr>
            <w:r w:rsidRPr="00255D0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55D0F" w:rsidP="00255D0F">
            <w:pPr>
              <w:pStyle w:val="BodyText"/>
            </w:pPr>
            <w:r w:rsidRPr="00255D0F">
              <w:t>As a min</w:t>
            </w:r>
            <w:r w:rsidRPr="00255D0F">
              <w:t>imum, assessment must satisfy applicable regulatory requirements, which include requirements in the Standards for Registered Training Organisations current at the time of assessment.</w:t>
            </w:r>
          </w:p>
          <w:p w:rsidR="00000000" w:rsidRPr="00255D0F" w:rsidP="00255D0F">
            <w:pPr>
              <w:pStyle w:val="BodyText"/>
            </w:pPr>
            <w:r w:rsidRPr="00255D0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5D0F" w:rsidP="00255D0F">
            <w:pPr>
              <w:pStyle w:val="BodyText"/>
            </w:pPr>
            <w:r w:rsidRPr="00255D0F">
              <w:t>Assessment must occur in workplace operational situations. Where this is not appropriate</w:t>
            </w:r>
            <w:r w:rsidRPr="00255D0F">
              <w:t xml:space="preserve">, assessment must occur in industry approved simulated workplace operational situations that reflect workplace conditions. </w:t>
            </w:r>
          </w:p>
          <w:p w:rsidR="00000000" w:rsidRPr="00255D0F" w:rsidP="00255D0F">
            <w:pPr>
              <w:pStyle w:val="BodyText"/>
            </w:pPr>
            <w:r w:rsidRPr="00255D0F">
              <w:t>Resources for assessment must include access to</w:t>
            </w:r>
          </w:p>
          <w:p w:rsidR="00000000" w:rsidRPr="00255D0F" w:rsidP="00255D0F">
            <w:pPr>
              <w:pStyle w:val="ListBullet"/>
            </w:pPr>
            <w:r w:rsidRPr="00255D0F">
              <w:t>a range of relevant exercises, case studies and/or simulations</w:t>
            </w:r>
          </w:p>
          <w:p w:rsidR="00000000" w:rsidRPr="00255D0F" w:rsidP="00255D0F">
            <w:pPr>
              <w:pStyle w:val="ListBullet"/>
            </w:pPr>
            <w:r w:rsidRPr="00255D0F">
              <w:t>relevant and appropr</w:t>
            </w:r>
            <w:r w:rsidRPr="00255D0F">
              <w:t>iate materials, equipment, tools and personal protective clothing and equipment currently used in industry including</w:t>
            </w:r>
          </w:p>
          <w:p w:rsidR="00000000" w:rsidRPr="00255D0F" w:rsidP="00255D0F">
            <w:pPr>
              <w:pStyle w:val="ListBullet2"/>
            </w:pPr>
            <w:r w:rsidRPr="00255D0F">
              <w:t xml:space="preserve">evidence management, handling and packaging resources and quality and quantity of samples </w:t>
            </w:r>
          </w:p>
          <w:p w:rsidR="00000000" w:rsidRPr="00255D0F" w:rsidP="00255D0F">
            <w:pPr>
              <w:pStyle w:val="ListBullet"/>
            </w:pPr>
            <w:r w:rsidRPr="00255D0F">
              <w:t>applicable documentation including organisatio</w:t>
            </w:r>
            <w:r w:rsidRPr="00255D0F">
              <w:t>nal procedures, industry standards, equipment specifications, regulations, codes of practice and operation manuals.</w:t>
            </w:r>
          </w:p>
        </w:tc>
      </w:tr>
    </w:tbl>
    <w:p w:rsidR="00000000" w:rsidRPr="00255D0F" w:rsidP="00255D0F">
      <w:pPr>
        <w:pStyle w:val="NoPaddingFontSize1"/>
      </w:pPr>
    </w:p>
    <w:p w:rsidR="00000000" w:rsidRPr="00255D0F" w:rsidP="00255D0F">
      <w:pPr>
        <w:pStyle w:val="AllowPageBreak"/>
      </w:pPr>
    </w:p>
    <w:p w:rsidR="00000000" w:rsidRPr="00255D0F" w:rsidP="00255D0F">
      <w:pPr>
        <w:pStyle w:val="Heading1"/>
      </w:pPr>
      <w:bookmarkStart w:id="5" w:name="O_1031112"/>
      <w:bookmarkEnd w:id="5"/>
      <w:r w:rsidRPr="00255D0F">
        <w:t>Links</w:t>
      </w:r>
    </w:p>
    <w:p w:rsidR="00000000" w:rsidRPr="00255D0F" w:rsidP="002C7B74">
      <w:pPr>
        <w:pStyle w:val="BodyText"/>
      </w:pPr>
      <w:r w:rsidRPr="00255D0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0A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55D0F" w:rsidP="00255D0F"/>
    <w:sectPr w:rsidSect="00255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F" w:rsidRPr="002C7B74" w:rsidP="002C7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74" w:rsidP="00255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B74" w:rsidP="00255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7B74" w:rsidP="00255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D0F" w:rsidRPr="002C7B74" w:rsidP="002C7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74" w:rsidRPr="002D2AF8" w:rsidP="00255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PUAFIR609 Collect, record and coordinate the analysis of physical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C7B74" w:rsidP="00255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809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6C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29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D0F"/>
  </w:style>
  <w:style w:type="character" w:customStyle="1" w:styleId="Heading1Char">
    <w:name w:val="Heading 1 Char"/>
    <w:basedOn w:val="DefaultParagraphFont"/>
    <w:link w:val="Heading1"/>
    <w:rsid w:val="00255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D0F"/>
    <w:rPr>
      <w:b/>
      <w:spacing w:val="0"/>
    </w:rPr>
  </w:style>
  <w:style w:type="paragraph" w:styleId="ListBullet2">
    <w:name w:val="List Bullet 2"/>
    <w:basedOn w:val="List2"/>
    <w:rsid w:val="00255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5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D0F"/>
    <w:rPr>
      <w:i/>
    </w:rPr>
  </w:style>
  <w:style w:type="paragraph" w:styleId="Caption">
    <w:name w:val="caption"/>
    <w:basedOn w:val="BodyText"/>
    <w:next w:val="Normal"/>
    <w:qFormat/>
    <w:rsid w:val="00255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D0F"/>
  </w:style>
  <w:style w:type="paragraph" w:styleId="TableofFigures">
    <w:name w:val="table of figures"/>
    <w:basedOn w:val="Normal"/>
    <w:next w:val="Normal"/>
    <w:semiHidden/>
    <w:rsid w:val="00255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D0F"/>
    <w:rPr>
      <w:rFonts w:ascii="Wingdings" w:hAnsi="Wingdings"/>
    </w:rPr>
  </w:style>
  <w:style w:type="paragraph" w:customStyle="1" w:styleId="TableHeading">
    <w:name w:val="Table Heading"/>
    <w:basedOn w:val="HeadingBase"/>
    <w:rsid w:val="00255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D0F"/>
    <w:rPr>
      <w:color w:val="0033CC"/>
      <w:u w:val="none"/>
    </w:rPr>
  </w:style>
  <w:style w:type="paragraph" w:customStyle="1" w:styleId="BodyTextRight">
    <w:name w:val="Body Text Right"/>
    <w:basedOn w:val="BodyText"/>
    <w:rsid w:val="00255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D0F"/>
    <w:rPr>
      <w:sz w:val="32"/>
    </w:rPr>
  </w:style>
  <w:style w:type="paragraph" w:customStyle="1" w:styleId="HeadingProcedure">
    <w:name w:val="Heading Procedure"/>
    <w:basedOn w:val="HeadingBase"/>
    <w:next w:val="Normal"/>
    <w:rsid w:val="00255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D0F"/>
    <w:pPr>
      <w:spacing w:before="60" w:after="60"/>
    </w:pPr>
  </w:style>
  <w:style w:type="paragraph" w:styleId="ListContinue">
    <w:name w:val="List Continue"/>
    <w:basedOn w:val="List"/>
    <w:rsid w:val="00255D0F"/>
    <w:pPr>
      <w:ind w:firstLine="0"/>
    </w:pPr>
  </w:style>
  <w:style w:type="paragraph" w:customStyle="1" w:styleId="ListNote">
    <w:name w:val="List Note"/>
    <w:basedOn w:val="List"/>
    <w:rsid w:val="00255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D0F"/>
    <w:rPr>
      <w:rFonts w:ascii="Courier New" w:hAnsi="Courier New"/>
    </w:rPr>
  </w:style>
  <w:style w:type="paragraph" w:customStyle="1" w:styleId="NoteBullet">
    <w:name w:val="Note Bullet"/>
    <w:basedOn w:val="Note"/>
    <w:rsid w:val="00255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D0F"/>
    <w:rPr>
      <w:b/>
      <w:smallCaps/>
    </w:rPr>
  </w:style>
  <w:style w:type="paragraph" w:customStyle="1" w:styleId="TableListNumber">
    <w:name w:val="Table List Number"/>
    <w:basedOn w:val="ListNumber"/>
    <w:rsid w:val="00255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D0F"/>
    <w:pPr>
      <w:numPr>
        <w:numId w:val="9"/>
      </w:numPr>
    </w:pPr>
  </w:style>
  <w:style w:type="paragraph" w:customStyle="1" w:styleId="ListAlpha2">
    <w:name w:val="List Alpha 2"/>
    <w:basedOn w:val="List2"/>
    <w:rsid w:val="00255D0F"/>
    <w:pPr>
      <w:numPr>
        <w:numId w:val="8"/>
      </w:numPr>
    </w:pPr>
  </w:style>
  <w:style w:type="paragraph" w:styleId="List2">
    <w:name w:val="List 2"/>
    <w:basedOn w:val="BodyText"/>
    <w:rsid w:val="00255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D0F"/>
    <w:pPr>
      <w:numPr>
        <w:numId w:val="4"/>
      </w:numPr>
    </w:pPr>
  </w:style>
  <w:style w:type="paragraph" w:styleId="ListContinue2">
    <w:name w:val="List Continue 2"/>
    <w:basedOn w:val="List2"/>
    <w:rsid w:val="00255D0F"/>
    <w:pPr>
      <w:ind w:firstLine="0"/>
    </w:pPr>
  </w:style>
  <w:style w:type="paragraph" w:styleId="ListContinue3">
    <w:name w:val="List Continue 3"/>
    <w:basedOn w:val="List3"/>
    <w:rsid w:val="00255D0F"/>
    <w:pPr>
      <w:ind w:left="1021" w:firstLine="0"/>
    </w:pPr>
  </w:style>
  <w:style w:type="paragraph" w:styleId="ListContinue4">
    <w:name w:val="List Continue 4"/>
    <w:basedOn w:val="List4"/>
    <w:rsid w:val="00255D0F"/>
    <w:pPr>
      <w:ind w:firstLine="0"/>
    </w:pPr>
  </w:style>
  <w:style w:type="paragraph" w:styleId="ListContinue5">
    <w:name w:val="List Continue 5"/>
    <w:basedOn w:val="List5"/>
    <w:rsid w:val="00255D0F"/>
    <w:pPr>
      <w:ind w:firstLine="0"/>
    </w:pPr>
  </w:style>
  <w:style w:type="paragraph" w:styleId="ListNumber3">
    <w:name w:val="List Number 3"/>
    <w:basedOn w:val="List3"/>
    <w:rsid w:val="00255D0F"/>
    <w:pPr>
      <w:numPr>
        <w:numId w:val="5"/>
      </w:numPr>
    </w:pPr>
  </w:style>
  <w:style w:type="paragraph" w:styleId="ListNumber4">
    <w:name w:val="List Number 4"/>
    <w:basedOn w:val="List4"/>
    <w:rsid w:val="00255D0F"/>
    <w:pPr>
      <w:numPr>
        <w:numId w:val="6"/>
      </w:numPr>
    </w:pPr>
  </w:style>
  <w:style w:type="paragraph" w:styleId="ListNumber5">
    <w:name w:val="List Number 5"/>
    <w:basedOn w:val="List5"/>
    <w:rsid w:val="00255D0F"/>
    <w:pPr>
      <w:numPr>
        <w:numId w:val="7"/>
      </w:numPr>
    </w:pPr>
  </w:style>
  <w:style w:type="paragraph" w:styleId="BlockText">
    <w:name w:val="Block Text"/>
    <w:basedOn w:val="Normal"/>
    <w:rsid w:val="00255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D0F"/>
    <w:rPr>
      <w:sz w:val="16"/>
      <w:vertAlign w:val="superscript"/>
    </w:rPr>
  </w:style>
  <w:style w:type="character" w:customStyle="1" w:styleId="Symbols">
    <w:name w:val="Symbols"/>
    <w:basedOn w:val="DefaultParagraphFont"/>
    <w:rsid w:val="00255D0F"/>
    <w:rPr>
      <w:rFonts w:ascii="Symbol" w:hAnsi="Symbol"/>
    </w:rPr>
  </w:style>
  <w:style w:type="character" w:customStyle="1" w:styleId="MenuOptions">
    <w:name w:val="Menu Options"/>
    <w:basedOn w:val="DefaultParagraphFont"/>
    <w:rsid w:val="00255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D0F"/>
    <w:rPr>
      <w:b/>
    </w:rPr>
  </w:style>
  <w:style w:type="character" w:customStyle="1" w:styleId="Underlined">
    <w:name w:val="Underlined"/>
    <w:basedOn w:val="DefaultParagraphFont"/>
    <w:rsid w:val="00255D0F"/>
    <w:rPr>
      <w:u w:val="single"/>
    </w:rPr>
  </w:style>
  <w:style w:type="paragraph" w:customStyle="1" w:styleId="TableBodyTextRight">
    <w:name w:val="Table Body Text Right"/>
    <w:basedOn w:val="TableBodyText"/>
    <w:rsid w:val="00255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D0F"/>
    <w:rPr>
      <w:sz w:val="18"/>
    </w:rPr>
  </w:style>
  <w:style w:type="paragraph" w:customStyle="1" w:styleId="BodySmallRight">
    <w:name w:val="Body Small Right"/>
    <w:basedOn w:val="BodyTextRight"/>
    <w:rsid w:val="00255D0F"/>
    <w:rPr>
      <w:sz w:val="18"/>
      <w:szCs w:val="18"/>
    </w:rPr>
  </w:style>
  <w:style w:type="paragraph" w:customStyle="1" w:styleId="MarginEdition">
    <w:name w:val="Margin Edition"/>
    <w:basedOn w:val="MarginNote"/>
    <w:rsid w:val="00255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D0F"/>
    <w:rPr>
      <w:sz w:val="2"/>
      <w:szCs w:val="2"/>
    </w:rPr>
  </w:style>
  <w:style w:type="character" w:customStyle="1" w:styleId="Small">
    <w:name w:val="Small"/>
    <w:basedOn w:val="DefaultParagraphFont"/>
    <w:rsid w:val="00255D0F"/>
    <w:rPr>
      <w:sz w:val="16"/>
    </w:rPr>
  </w:style>
  <w:style w:type="paragraph" w:customStyle="1" w:styleId="WideTable">
    <w:name w:val="Wide Table"/>
    <w:basedOn w:val="Normal"/>
    <w:rsid w:val="00255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D0F"/>
  </w:style>
  <w:style w:type="paragraph" w:styleId="Quote">
    <w:name w:val="Quote"/>
    <w:basedOn w:val="Heading1"/>
    <w:link w:val="QuoteChar"/>
    <w:qFormat/>
    <w:rsid w:val="00255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D0F"/>
    <w:pPr>
      <w:pageBreakBefore/>
    </w:pPr>
  </w:style>
  <w:style w:type="paragraph" w:customStyle="1" w:styleId="Border">
    <w:name w:val="Border"/>
    <w:basedOn w:val="Normal"/>
    <w:qFormat/>
    <w:rsid w:val="00255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D0F"/>
    <w:rPr>
      <w:u w:val="single"/>
    </w:rPr>
  </w:style>
  <w:style w:type="character" w:customStyle="1" w:styleId="BoldandItalics">
    <w:name w:val="Bold and Italics"/>
    <w:qFormat/>
    <w:rsid w:val="00255D0F"/>
    <w:rPr>
      <w:b/>
      <w:i/>
      <w:u w:val="none"/>
    </w:rPr>
  </w:style>
  <w:style w:type="paragraph" w:styleId="BalloonText">
    <w:name w:val="Balloon Text"/>
    <w:basedOn w:val="Normal"/>
    <w:link w:val="BalloonTextChar"/>
    <w:rsid w:val="00255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D0F"/>
    <w:pPr>
      <w:spacing w:before="0" w:after="0"/>
    </w:pPr>
  </w:style>
  <w:style w:type="paragraph" w:customStyle="1" w:styleId="BodyTextBold">
    <w:name w:val="Body Text Bold"/>
    <w:basedOn w:val="BodyText"/>
    <w:qFormat/>
    <w:rsid w:val="00255D0F"/>
    <w:rPr>
      <w:b/>
    </w:rPr>
  </w:style>
  <w:style w:type="character" w:styleId="Hyperlink">
    <w:name w:val="Hyperlink"/>
    <w:basedOn w:val="DefaultParagraphFont"/>
    <w:uiPriority w:val="99"/>
    <w:unhideWhenUsed/>
    <w:rsid w:val="002C7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3479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PUAFIR609 Collect, record and coordinate the analysis of physical evidence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