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EBE" w:rsidP="00080EBE">
      <w:pPr>
        <w:pStyle w:val="Title"/>
      </w:pPr>
      <w:r>
        <w:fldChar w:fldCharType="begin"/>
      </w:r>
      <w:r>
        <w:instrText xml:space="preserve"> TITLE   \* MERGEFORMAT </w:instrText>
      </w:r>
      <w:r>
        <w:fldChar w:fldCharType="separate"/>
      </w:r>
      <w:r>
        <w:t>PUAFIR607 Apply electrical/electronic knowledge to fire investigations</w:t>
      </w:r>
      <w:r>
        <w:fldChar w:fldCharType="end"/>
      </w:r>
    </w:p>
    <w:p w:rsidR="00080EBE" w:rsidP="00080EBE">
      <w:pPr>
        <w:pStyle w:val="Version"/>
        <w:sectPr w:rsidSect="00B24A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4A3E" w:rsidP="00B24A3E">
      <w:pPr>
        <w:pStyle w:val="SuperHeading"/>
      </w:pPr>
      <w:r w:rsidRPr="00B24A3E">
        <w:t>PUAFIR607 Apply electrical/electronic knowledge to fire investigations</w:t>
      </w:r>
    </w:p>
    <w:p w:rsidR="00000000" w:rsidRPr="00B24A3E" w:rsidP="00B24A3E">
      <w:pPr>
        <w:pStyle w:val="Heading1"/>
      </w:pPr>
      <w:bookmarkStart w:id="1" w:name="O_1279715"/>
      <w:bookmarkEnd w:id="1"/>
      <w:r w:rsidRPr="00B24A3E">
        <w:t>Modification History</w:t>
      </w:r>
    </w:p>
    <w:tbl>
      <w:tblPr>
        <w:tblW w:w="9497" w:type="dxa"/>
        <w:tblLayout w:type="fixed"/>
        <w:tblCellMar>
          <w:left w:w="62" w:type="dxa"/>
          <w:right w:w="62" w:type="dxa"/>
        </w:tblCellMar>
        <w:tblLook w:val="0000"/>
      </w:tblPr>
      <w:tblGrid>
        <w:gridCol w:w="9497"/>
      </w:tblGrid>
      <w:tr w:rsidTr="00B24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Release 2.</w:t>
            </w:r>
            <w:r w:rsidRPr="00B24A3E">
              <w:t xml:space="preserve"> This is the second release of this unit of competency in the PUA Public Safety Training Package.</w:t>
            </w:r>
          </w:p>
        </w:tc>
      </w:tr>
      <w:tr w:rsidTr="00B24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rPr>
                <w:rStyle w:val="SpecialBold"/>
              </w:rPr>
              <w:t>Release 1.</w:t>
            </w:r>
            <w:r w:rsidRPr="00B24A3E">
              <w:t xml:space="preserve"> This is the first release of this unit of competency in the PUA Public Safety Training Package.</w:t>
            </w:r>
          </w:p>
        </w:tc>
      </w:tr>
    </w:tbl>
    <w:p w:rsidR="00000000" w:rsidRPr="00B24A3E" w:rsidP="00B24A3E">
      <w:pPr>
        <w:pStyle w:val="NoPaddingFontSize1"/>
      </w:pPr>
    </w:p>
    <w:p w:rsidR="00000000" w:rsidRPr="00B24A3E" w:rsidP="00B24A3E">
      <w:pPr>
        <w:pStyle w:val="AllowPageBreak"/>
      </w:pPr>
    </w:p>
    <w:p w:rsidR="00000000" w:rsidRPr="00B24A3E" w:rsidP="00B24A3E">
      <w:pPr>
        <w:pStyle w:val="Heading1"/>
      </w:pPr>
      <w:bookmarkStart w:id="2" w:name="O_1279714"/>
      <w:bookmarkEnd w:id="2"/>
      <w:r w:rsidRPr="00B24A3E">
        <w:t>Application</w:t>
      </w:r>
    </w:p>
    <w:tbl>
      <w:tblPr>
        <w:tblW w:w="9497" w:type="dxa"/>
        <w:tblLayout w:type="fixed"/>
        <w:tblCellMar>
          <w:left w:w="62" w:type="dxa"/>
          <w:right w:w="62" w:type="dxa"/>
        </w:tblCellMar>
        <w:tblLook w:val="0000"/>
      </w:tblPr>
      <w:tblGrid>
        <w:gridCol w:w="9497"/>
      </w:tblGrid>
      <w:tr w:rsidTr="00B24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t>This unit of competency involves the skills and knowledge required to inspect and assess a fire scene to determine whether the</w:t>
            </w:r>
            <w:r w:rsidRPr="00B24A3E">
              <w:t xml:space="preserve"> origin and possible cause of fire is related to the presence of electrical installations and appliances. It includes identifying sources of evidence, collecting and documenting evidence in preparation for analysis, findings and conclusions. </w:t>
            </w:r>
          </w:p>
          <w:p w:rsidR="00000000" w:rsidRPr="00B24A3E" w:rsidP="00B24A3E">
            <w:pPr>
              <w:pStyle w:val="BodyText"/>
            </w:pPr>
            <w:r w:rsidRPr="00B24A3E">
              <w:t>The unit appl</w:t>
            </w:r>
            <w:r w:rsidRPr="00B24A3E">
              <w:t>ies to fire investigators who are required to assess a fire scene to identify the presence of electrical circuits, equipment or appliances that may have contributed to the cause of fire.</w:t>
            </w:r>
          </w:p>
          <w:p w:rsidR="00000000" w:rsidRPr="00B24A3E" w:rsidP="00B24A3E">
            <w:pPr>
              <w:pStyle w:val="BodyText"/>
            </w:pPr>
            <w:r w:rsidRPr="00B24A3E">
              <w:t>The fire sector is those sections of government departments, statutor</w:t>
            </w:r>
            <w:r w:rsidRPr="00B24A3E">
              <w:t>y authorities or organisations that have responsibility under jurisdictional arrangements for the delivery of firefighting and fire management services.</w:t>
            </w:r>
          </w:p>
          <w:p w:rsidR="00000000" w:rsidRPr="00B24A3E" w:rsidP="00B24A3E">
            <w:pPr>
              <w:pStyle w:val="BodyText"/>
            </w:pPr>
            <w:r w:rsidRPr="00B24A3E">
              <w:t>No licensing, legislative or certification requirements apply to this unit at the time of publication.</w:t>
            </w:r>
          </w:p>
        </w:tc>
      </w:tr>
    </w:tbl>
    <w:p w:rsidR="00000000" w:rsidRPr="00B24A3E" w:rsidP="00B24A3E">
      <w:pPr>
        <w:pStyle w:val="NoPaddingFontSize1"/>
      </w:pPr>
    </w:p>
    <w:p w:rsidR="00000000" w:rsidRPr="00B24A3E" w:rsidP="00B24A3E">
      <w:pPr>
        <w:pStyle w:val="AllowPageBreak"/>
      </w:pPr>
    </w:p>
    <w:p w:rsidR="00000000" w:rsidRPr="00B24A3E" w:rsidP="00B24A3E">
      <w:pPr>
        <w:pStyle w:val="Heading1"/>
      </w:pPr>
      <w:bookmarkStart w:id="3" w:name="O_1279713"/>
      <w:bookmarkEnd w:id="3"/>
      <w:r w:rsidRPr="00B24A3E">
        <w:t>Pre-requisite Unit</w:t>
      </w:r>
    </w:p>
    <w:tbl>
      <w:tblPr>
        <w:tblW w:w="9497" w:type="dxa"/>
        <w:tblLayout w:type="fixed"/>
        <w:tblCellMar>
          <w:left w:w="62" w:type="dxa"/>
          <w:right w:w="62" w:type="dxa"/>
        </w:tblCellMar>
        <w:tblLook w:val="0000"/>
      </w:tblPr>
      <w:tblGrid>
        <w:gridCol w:w="9497"/>
      </w:tblGrid>
      <w:tr w:rsidTr="00B24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t>It is essential that the prerequisite units listed below are obtained prior to the issuance of this unit to individuals within the fire sector or the units contributing to the attainment of a fire qualification.</w:t>
            </w:r>
          </w:p>
          <w:p w:rsidR="00000000" w:rsidRPr="00B24A3E" w:rsidP="00B24A3E">
            <w:pPr>
              <w:pStyle w:val="BodyText"/>
            </w:pPr>
            <w:r w:rsidRPr="00B24A3E">
              <w:t>PUAF</w:t>
            </w:r>
            <w:r w:rsidRPr="00B24A3E">
              <w:t xml:space="preserve">IR605 Determine origin and cause of mobile property fire </w:t>
            </w:r>
          </w:p>
          <w:p w:rsidR="00000000" w:rsidRPr="00B24A3E" w:rsidP="00B24A3E">
            <w:pPr>
              <w:pStyle w:val="BodyText"/>
            </w:pPr>
            <w:r w:rsidRPr="00B24A3E">
              <w:t xml:space="preserve">PUAFIR609 Collect, record and coordinate the analysis of physical evidence </w:t>
            </w:r>
          </w:p>
          <w:p w:rsidR="00000000" w:rsidRPr="00B24A3E" w:rsidP="00B24A3E">
            <w:pPr>
              <w:pStyle w:val="BodyText"/>
            </w:pPr>
            <w:r w:rsidRPr="00B24A3E">
              <w:t>One of the following:</w:t>
            </w:r>
          </w:p>
          <w:p w:rsidR="00000000" w:rsidRPr="00B24A3E" w:rsidP="00B24A3E">
            <w:pPr>
              <w:pStyle w:val="BodyText"/>
            </w:pPr>
            <w:r w:rsidRPr="00B24A3E">
              <w:t xml:space="preserve">PUAFIR603 Determine origin and cause of wildfire </w:t>
            </w:r>
          </w:p>
          <w:p w:rsidR="00000000" w:rsidRPr="00B24A3E" w:rsidP="00B24A3E">
            <w:pPr>
              <w:pStyle w:val="BodyText"/>
            </w:pPr>
            <w:r w:rsidRPr="00B24A3E">
              <w:t xml:space="preserve">PUAFIR604 Determine origin and cause of structure </w:t>
            </w:r>
            <w:r w:rsidRPr="00B24A3E">
              <w:t xml:space="preserve">fire </w:t>
            </w:r>
          </w:p>
        </w:tc>
      </w:tr>
    </w:tbl>
    <w:p w:rsidR="00000000" w:rsidRPr="00B24A3E" w:rsidP="00B24A3E">
      <w:pPr>
        <w:pStyle w:val="NoPaddingFontSize1"/>
      </w:pPr>
    </w:p>
    <w:p w:rsidR="00000000" w:rsidRPr="00B24A3E" w:rsidP="00B24A3E">
      <w:pPr>
        <w:pStyle w:val="AllowPageBreak"/>
      </w:pPr>
    </w:p>
    <w:p w:rsidR="00000000" w:rsidRPr="00B24A3E" w:rsidP="00B24A3E">
      <w:pPr>
        <w:pStyle w:val="Heading1"/>
      </w:pPr>
      <w:bookmarkStart w:id="4" w:name="O_1279712"/>
      <w:bookmarkEnd w:id="4"/>
      <w:r w:rsidRPr="00B24A3E">
        <w:t>Competency Field</w:t>
      </w:r>
    </w:p>
    <w:tbl>
      <w:tblPr>
        <w:tblW w:w="9497" w:type="dxa"/>
        <w:tblLayout w:type="fixed"/>
        <w:tblCellMar>
          <w:left w:w="62" w:type="dxa"/>
          <w:right w:w="62" w:type="dxa"/>
        </w:tblCellMar>
        <w:tblLook w:val="0000"/>
      </w:tblPr>
      <w:tblGrid>
        <w:gridCol w:w="9497"/>
      </w:tblGrid>
      <w:tr w:rsidTr="00B24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t>Fire</w:t>
            </w:r>
          </w:p>
        </w:tc>
      </w:tr>
    </w:tbl>
    <w:p w:rsidR="00000000" w:rsidRPr="00B24A3E" w:rsidP="00B24A3E">
      <w:pPr>
        <w:pStyle w:val="NoPaddingFontSize1"/>
      </w:pPr>
    </w:p>
    <w:p w:rsidR="00000000" w:rsidRPr="00B24A3E" w:rsidP="00B24A3E">
      <w:pPr>
        <w:pStyle w:val="AllowPageBreak"/>
      </w:pPr>
    </w:p>
    <w:p w:rsidR="00000000" w:rsidRPr="00B24A3E" w:rsidP="00B24A3E">
      <w:pPr>
        <w:pStyle w:val="Heading1"/>
      </w:pPr>
      <w:bookmarkStart w:id="5" w:name="O_1279711"/>
      <w:bookmarkEnd w:id="5"/>
      <w:r w:rsidRPr="00B24A3E">
        <w:t>Unit Sector</w:t>
      </w:r>
    </w:p>
    <w:tbl>
      <w:tblPr>
        <w:tblW w:w="9497" w:type="dxa"/>
        <w:tblLayout w:type="fixed"/>
        <w:tblCellMar>
          <w:left w:w="62" w:type="dxa"/>
          <w:right w:w="62" w:type="dxa"/>
        </w:tblCellMar>
        <w:tblLook w:val="0000"/>
      </w:tblPr>
      <w:tblGrid>
        <w:gridCol w:w="9497"/>
      </w:tblGrid>
      <w:tr w:rsidTr="00B24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t>Fire</w:t>
            </w:r>
          </w:p>
        </w:tc>
      </w:tr>
    </w:tbl>
    <w:p w:rsidR="00000000" w:rsidRPr="00B24A3E" w:rsidP="00B24A3E">
      <w:pPr>
        <w:pStyle w:val="NoPaddingFontSize1"/>
      </w:pPr>
    </w:p>
    <w:p w:rsidR="00000000" w:rsidRPr="00B24A3E" w:rsidP="00B24A3E">
      <w:pPr>
        <w:pStyle w:val="AllowPageBreak"/>
      </w:pPr>
    </w:p>
    <w:p w:rsidR="00000000" w:rsidRPr="00B24A3E" w:rsidP="00B24A3E">
      <w:pPr>
        <w:pStyle w:val="Heading1"/>
      </w:pPr>
      <w:bookmarkStart w:id="6" w:name="O_1279710"/>
      <w:bookmarkEnd w:id="6"/>
      <w:r w:rsidRPr="00B24A3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24A3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PERFORMANCE CRITERIA</w:t>
            </w:r>
          </w:p>
        </w:tc>
      </w:tr>
      <w:tr w:rsidTr="00B24A3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Performance criteria describe the performance needed to demonstrate achievement of the element.</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rPr>
                <w:rStyle w:val="SpecialBold"/>
              </w:rPr>
              <w:t>Coordinate fire investigation</w:t>
            </w: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Cooperation with multi-organisational personnel during the investigation is consistent with roles and responsibilities an</w:t>
            </w:r>
            <w:r w:rsidRPr="00B24A3E">
              <w:t>d is in accordance with organisational procedures</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Information for the fire investigation from multi-organisational personnel is identified and obtained, in accordance with organisational procedures</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Personal protective clothing and equipment is used, in accordance with organisational procedures</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 xml:space="preserve">Work, Health and Safety (WHS)/Occupational Health and Safety (OHS) procedures incident are followed </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rPr>
                <w:rStyle w:val="SpecialBold"/>
              </w:rPr>
              <w:t>Identify, assess and collect circuitry component</w:t>
            </w:r>
            <w:r w:rsidRPr="00B24A3E">
              <w:rPr>
                <w:rStyle w:val="SpecialBold"/>
              </w:rPr>
              <w:t>s and appliances</w:t>
            </w: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External and internal survey of fire scene is conducted to identify and assess electrical circuitry, electrical equipment and appliances</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Relevance of electrical circuitry, equipment and appliances to fire cause is assessed and e</w:t>
            </w:r>
            <w:r w:rsidRPr="00B24A3E">
              <w:t>stablished</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Arrangements are made for the attendance of electrical specialist where it is believed that electrical systems, components or appliances may have contributed to the fire</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Expertise in electrical infrastructure is sourced, where required</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Interviews with witnesses are conducted, in accordance with organisational procedures</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Circuitry plans and/or layouts are obtained</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Areas or items of evidential value at the fire scene are identified and preserved</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Evidence is recorded and collected at the fire scene and observations are documented, in accordance with organisational procedures</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 xml:space="preserve">Electrical circuitry components, equipment and appliances of evidential value are protected, in accordance with organisational procedures </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rPr>
                <w:rStyle w:val="SpecialBold"/>
              </w:rPr>
              <w:t>Arrange for tests on electrical evidence collected</w:t>
            </w: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Advice is received from electrical specialist as to electri</w:t>
            </w:r>
            <w:r w:rsidRPr="00B24A3E">
              <w:t>cal or appliance systems</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 xml:space="preserve">Arrangements are made for laboratory and specialist testing and assessment of electrical items </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rPr>
                <w:rStyle w:val="SpecialBold"/>
              </w:rPr>
              <w:t>Interpret and record findings</w:t>
            </w: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Circuitry components on site plans are documented to support evidence and conclusions</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Circuit diagrams and electrical plans relating to building, components and equipment are determined and interpreted</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Specialist report on electrical circuitry or equipment failure as contributing to the cause of fire is obtained, where required</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Specialist findings about ignition are considered in conjunction with other observations and evidence from the fire</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 xml:space="preserve">Product recall and material safety data sheet databases are researched, as required </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t>Recommendations are forwarded to authorities and/or stakeholders, as required</w:t>
            </w:r>
          </w:p>
        </w:tc>
      </w:tr>
      <w:tr w:rsidTr="00B24A3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4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4A3E">
            <w:pPr>
              <w:pStyle w:val="BodyText"/>
              <w:rPr>
                <w:lang w:val="en-NZ"/>
              </w:rPr>
            </w:pPr>
            <w:r w:rsidRPr="00B24A3E">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t xml:space="preserve">Findings are interpreted and recorded, in accordance with organisational procedures </w:t>
            </w:r>
          </w:p>
        </w:tc>
      </w:tr>
    </w:tbl>
    <w:p w:rsidR="00000000" w:rsidRPr="00B24A3E" w:rsidP="00B24A3E">
      <w:pPr>
        <w:pStyle w:val="NoPaddingFontSize1"/>
      </w:pPr>
    </w:p>
    <w:p w:rsidR="00000000" w:rsidRPr="00B24A3E" w:rsidP="00B24A3E">
      <w:pPr>
        <w:pStyle w:val="AllowPageBreak"/>
      </w:pPr>
    </w:p>
    <w:p w:rsidR="00000000" w:rsidRPr="00B24A3E" w:rsidP="00B24A3E">
      <w:pPr>
        <w:pStyle w:val="Heading1"/>
      </w:pPr>
      <w:bookmarkStart w:id="7" w:name="O_1279709"/>
      <w:bookmarkEnd w:id="7"/>
      <w:r w:rsidRPr="00B24A3E">
        <w:t>Foundation Skills</w:t>
      </w:r>
    </w:p>
    <w:tbl>
      <w:tblPr>
        <w:tblW w:w="9497" w:type="dxa"/>
        <w:tblLayout w:type="fixed"/>
        <w:tblCellMar>
          <w:left w:w="62" w:type="dxa"/>
          <w:right w:w="62" w:type="dxa"/>
        </w:tblCellMar>
        <w:tblLook w:val="0000"/>
      </w:tblPr>
      <w:tblGrid>
        <w:gridCol w:w="9497"/>
      </w:tblGrid>
      <w:tr w:rsidTr="00B24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t xml:space="preserve">Foundation skills essential to performance are </w:t>
            </w:r>
            <w:r w:rsidRPr="00B24A3E">
              <w:t>explicit in the performance criteria of this unit of competency.</w:t>
            </w:r>
          </w:p>
        </w:tc>
      </w:tr>
    </w:tbl>
    <w:p w:rsidR="00000000" w:rsidRPr="00B24A3E" w:rsidP="00B24A3E">
      <w:pPr>
        <w:pStyle w:val="NoPaddingFontSize1"/>
      </w:pPr>
    </w:p>
    <w:p w:rsidR="00000000" w:rsidRPr="00B24A3E" w:rsidP="00B24A3E">
      <w:pPr>
        <w:pStyle w:val="AllowPageBreak"/>
      </w:pPr>
    </w:p>
    <w:p w:rsidR="00000000" w:rsidRPr="00B24A3E" w:rsidP="00B24A3E">
      <w:pPr>
        <w:pStyle w:val="Heading1"/>
      </w:pPr>
      <w:bookmarkStart w:id="8" w:name="O_1279708"/>
      <w:bookmarkEnd w:id="8"/>
      <w:r w:rsidRPr="00B24A3E">
        <w:t>Range of Conditions</w:t>
      </w:r>
    </w:p>
    <w:tbl>
      <w:tblPr>
        <w:tblW w:w="9497" w:type="dxa"/>
        <w:tblLayout w:type="fixed"/>
        <w:tblCellMar>
          <w:left w:w="62" w:type="dxa"/>
          <w:right w:w="62" w:type="dxa"/>
        </w:tblCellMar>
        <w:tblLook w:val="0000"/>
      </w:tblPr>
      <w:tblGrid>
        <w:gridCol w:w="9497"/>
      </w:tblGrid>
      <w:tr w:rsidTr="00B24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t>Range is restricted to essential operating conditions and any other variables essential to the work environment.</w:t>
            </w:r>
          </w:p>
          <w:p w:rsidR="00000000" w:rsidRPr="00B24A3E" w:rsidP="00B24A3E">
            <w:pPr>
              <w:pStyle w:val="BodyText"/>
            </w:pPr>
            <w:r w:rsidRPr="00B24A3E">
              <w:t>Non-essential conditions may be found in the Companion Volume Implementation Guide.</w:t>
            </w:r>
          </w:p>
        </w:tc>
      </w:tr>
    </w:tbl>
    <w:p w:rsidR="00000000" w:rsidRPr="00B24A3E" w:rsidP="00B24A3E">
      <w:pPr>
        <w:pStyle w:val="NoPaddingFontSize1"/>
      </w:pPr>
    </w:p>
    <w:p w:rsidR="00000000" w:rsidRPr="00B24A3E" w:rsidP="00B24A3E">
      <w:pPr>
        <w:pStyle w:val="AllowPageBreak"/>
      </w:pPr>
    </w:p>
    <w:p w:rsidR="00000000" w:rsidRPr="00B24A3E" w:rsidP="00B24A3E">
      <w:pPr>
        <w:pStyle w:val="Heading1"/>
      </w:pPr>
      <w:bookmarkStart w:id="9" w:name="O_1279707"/>
      <w:bookmarkEnd w:id="9"/>
      <w:r w:rsidRPr="00B24A3E">
        <w:t>Unit Mapping Information</w:t>
      </w:r>
    </w:p>
    <w:tbl>
      <w:tblPr>
        <w:tblW w:w="9497" w:type="dxa"/>
        <w:tblLayout w:type="fixed"/>
        <w:tblCellMar>
          <w:left w:w="62" w:type="dxa"/>
          <w:right w:w="62" w:type="dxa"/>
        </w:tblCellMar>
        <w:tblLook w:val="0000"/>
      </w:tblPr>
      <w:tblGrid>
        <w:gridCol w:w="9497"/>
      </w:tblGrid>
      <w:tr w:rsidTr="00B24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4A3E" w:rsidP="00B24A3E">
            <w:pPr>
              <w:pStyle w:val="BodyText"/>
            </w:pPr>
            <w:r w:rsidRPr="00B24A3E">
              <w:t>This unit replaces and is equivalent to PUAFIR607A Apply electrical/electronic knowledge to fire investigations.</w:t>
            </w:r>
          </w:p>
        </w:tc>
      </w:tr>
    </w:tbl>
    <w:p w:rsidR="00000000" w:rsidRPr="00B24A3E" w:rsidP="00B24A3E">
      <w:pPr>
        <w:pStyle w:val="NoPaddingFontSize1"/>
      </w:pPr>
    </w:p>
    <w:p w:rsidR="00000000" w:rsidRPr="00B24A3E" w:rsidP="00B24A3E">
      <w:pPr>
        <w:pStyle w:val="AllowPageBreak"/>
      </w:pPr>
    </w:p>
    <w:p w:rsidR="00000000" w:rsidRPr="00B24A3E" w:rsidP="00B24A3E">
      <w:pPr>
        <w:pStyle w:val="Heading1"/>
      </w:pPr>
      <w:bookmarkStart w:id="10" w:name="O_1279716"/>
      <w:bookmarkEnd w:id="10"/>
      <w:r w:rsidRPr="00B24A3E">
        <w:t>Links</w:t>
      </w:r>
    </w:p>
    <w:p w:rsidR="00000000" w:rsidRPr="00B24A3E" w:rsidP="00080EBE">
      <w:pPr>
        <w:pStyle w:val="BodyText"/>
      </w:pPr>
      <w:r w:rsidRPr="00B24A3E">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B44F38">
        <w:rPr>
          <w:rStyle w:val="Hyperlink"/>
        </w:rPr>
        <w:t>https://vetnet.gov.au/Pages/TrainingDocs.aspx?q=3eca5672-6d5a-410b-8942-810d0ba05bbf</w:t>
      </w:r>
      <w:r>
        <w:fldChar w:fldCharType="end"/>
      </w:r>
    </w:p>
    <w:p w:rsidR="00000000" w:rsidRPr="00B24A3E" w:rsidP="00B24A3E"/>
    <w:sectPr w:rsidSect="00B24A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3E" w:rsidRPr="00080EBE" w:rsidP="00080E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BE" w:rsidP="00B24A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EBE" w:rsidP="00B24A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0EBE" w:rsidP="00B24A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A3E" w:rsidRPr="00080EBE" w:rsidP="00080E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EBE" w:rsidRPr="002D2AF8" w:rsidP="00B24A3E">
    <w:pPr>
      <w:pStyle w:val="Header"/>
      <w:framePr w:wrap="around"/>
    </w:pPr>
    <w:r>
      <w:fldChar w:fldCharType="begin"/>
    </w:r>
    <w:r>
      <w:instrText xml:space="preserve"> TITLE   \* MERGEFORMAT </w:instrText>
    </w:r>
    <w:r>
      <w:fldChar w:fldCharType="separate"/>
    </w:r>
    <w:r>
      <w:t>PUAFIR607 Apply electrical/electronic knowledge to fire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80EBE" w:rsidP="00B24A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A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A3E"/>
    <w:pPr>
      <w:spacing w:before="360" w:after="60"/>
      <w:outlineLvl w:val="0"/>
    </w:pPr>
    <w:rPr>
      <w:sz w:val="32"/>
    </w:rPr>
  </w:style>
  <w:style w:type="paragraph" w:styleId="Heading2">
    <w:name w:val="heading 2"/>
    <w:basedOn w:val="HeadingBase"/>
    <w:next w:val="BodyText"/>
    <w:link w:val="Heading2Char"/>
    <w:qFormat/>
    <w:rsid w:val="00B24A3E"/>
    <w:pPr>
      <w:keepLines/>
      <w:spacing w:before="240" w:after="120"/>
      <w:outlineLvl w:val="1"/>
    </w:pPr>
    <w:rPr>
      <w:sz w:val="28"/>
      <w:szCs w:val="40"/>
    </w:rPr>
  </w:style>
  <w:style w:type="paragraph" w:styleId="Heading3">
    <w:name w:val="heading 3"/>
    <w:basedOn w:val="HeadingBase"/>
    <w:next w:val="BodyText"/>
    <w:link w:val="Heading3Char"/>
    <w:qFormat/>
    <w:rsid w:val="00B24A3E"/>
    <w:pPr>
      <w:spacing w:before="180" w:after="120"/>
      <w:outlineLvl w:val="2"/>
    </w:pPr>
    <w:rPr>
      <w:spacing w:val="-10"/>
      <w:kern w:val="32"/>
    </w:rPr>
  </w:style>
  <w:style w:type="paragraph" w:styleId="Heading4">
    <w:name w:val="heading 4"/>
    <w:basedOn w:val="HeadingBase"/>
    <w:next w:val="BodyText"/>
    <w:link w:val="Heading4Char"/>
    <w:qFormat/>
    <w:rsid w:val="00B24A3E"/>
    <w:pPr>
      <w:spacing w:before="160" w:after="120"/>
      <w:outlineLvl w:val="3"/>
    </w:pPr>
    <w:rPr>
      <w:sz w:val="22"/>
    </w:rPr>
  </w:style>
  <w:style w:type="paragraph" w:styleId="Heading5">
    <w:name w:val="heading 5"/>
    <w:basedOn w:val="HeadingBase"/>
    <w:next w:val="Normal"/>
    <w:link w:val="Heading5Char"/>
    <w:qFormat/>
    <w:rsid w:val="00B24A3E"/>
    <w:pPr>
      <w:spacing w:before="80"/>
      <w:outlineLvl w:val="4"/>
    </w:pPr>
    <w:rPr>
      <w:color w:val="918585"/>
      <w:sz w:val="20"/>
    </w:rPr>
  </w:style>
  <w:style w:type="paragraph" w:styleId="Heading6">
    <w:name w:val="heading 6"/>
    <w:basedOn w:val="HeadingBase"/>
    <w:next w:val="Normal"/>
    <w:link w:val="Heading6Char"/>
    <w:qFormat/>
    <w:rsid w:val="00B24A3E"/>
    <w:pPr>
      <w:spacing w:before="60"/>
      <w:outlineLvl w:val="5"/>
    </w:pPr>
    <w:rPr>
      <w:color w:val="918585"/>
      <w:sz w:val="20"/>
    </w:rPr>
  </w:style>
  <w:style w:type="paragraph" w:styleId="Heading7">
    <w:name w:val="heading 7"/>
    <w:basedOn w:val="Normal"/>
    <w:next w:val="Normal"/>
    <w:link w:val="Heading7Char"/>
    <w:qFormat/>
    <w:rsid w:val="00B24A3E"/>
    <w:pPr>
      <w:ind w:left="720"/>
      <w:outlineLvl w:val="6"/>
    </w:pPr>
    <w:rPr>
      <w:i/>
    </w:rPr>
  </w:style>
  <w:style w:type="paragraph" w:styleId="Heading8">
    <w:name w:val="heading 8"/>
    <w:basedOn w:val="Normal"/>
    <w:next w:val="Normal"/>
    <w:link w:val="Heading8Char"/>
    <w:qFormat/>
    <w:rsid w:val="00B24A3E"/>
    <w:pPr>
      <w:ind w:left="720"/>
      <w:outlineLvl w:val="7"/>
    </w:pPr>
    <w:rPr>
      <w:i/>
    </w:rPr>
  </w:style>
  <w:style w:type="paragraph" w:styleId="Heading9">
    <w:name w:val="heading 9"/>
    <w:basedOn w:val="Normal"/>
    <w:next w:val="Normal"/>
    <w:link w:val="Heading9Char"/>
    <w:qFormat/>
    <w:rsid w:val="00B24A3E"/>
    <w:pPr>
      <w:ind w:left="720"/>
      <w:outlineLvl w:val="8"/>
    </w:pPr>
    <w:rPr>
      <w:i/>
    </w:rPr>
  </w:style>
  <w:style w:type="character" w:default="1" w:styleId="DefaultParagraphFont">
    <w:name w:val="Default Paragraph Font"/>
    <w:uiPriority w:val="1"/>
    <w:unhideWhenUsed/>
    <w:rsid w:val="00B24A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A3E"/>
  </w:style>
  <w:style w:type="character" w:customStyle="1" w:styleId="Heading1Char">
    <w:name w:val="Heading 1 Char"/>
    <w:basedOn w:val="DefaultParagraphFont"/>
    <w:link w:val="Heading1"/>
    <w:rsid w:val="00B24A3E"/>
    <w:rPr>
      <w:rFonts w:ascii="Times New Roman" w:eastAsia="Times New Roman" w:hAnsi="Times New Roman" w:cs="Times New Roman"/>
      <w:b/>
      <w:sz w:val="32"/>
      <w:szCs w:val="20"/>
      <w:lang w:eastAsia="en-US"/>
    </w:rPr>
  </w:style>
  <w:style w:type="paragraph" w:styleId="BodyText">
    <w:name w:val="Body Text"/>
    <w:basedOn w:val="Normal"/>
    <w:link w:val="BodyTextChar"/>
    <w:rsid w:val="00B24A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A3E"/>
    <w:rPr>
      <w:rFonts w:ascii="Times New Roman" w:eastAsia="Times New Roman" w:hAnsi="Times New Roman" w:cs="Times New Roman"/>
      <w:sz w:val="24"/>
      <w:lang w:eastAsia="en-US"/>
    </w:rPr>
  </w:style>
  <w:style w:type="character" w:customStyle="1" w:styleId="SpecialBold">
    <w:name w:val="Special Bold"/>
    <w:basedOn w:val="DefaultParagraphFont"/>
    <w:rsid w:val="00B24A3E"/>
    <w:rPr>
      <w:b/>
      <w:spacing w:val="0"/>
    </w:rPr>
  </w:style>
  <w:style w:type="paragraph" w:customStyle="1" w:styleId="SuperHeading">
    <w:name w:val="SuperHeading"/>
    <w:basedOn w:val="Normal"/>
    <w:rsid w:val="00B24A3E"/>
    <w:pPr>
      <w:spacing w:before="240" w:after="120"/>
      <w:outlineLvl w:val="0"/>
    </w:pPr>
    <w:rPr>
      <w:rFonts w:ascii="Times New Roman" w:hAnsi="Times New Roman"/>
      <w:b/>
      <w:sz w:val="32"/>
    </w:rPr>
  </w:style>
  <w:style w:type="paragraph" w:customStyle="1" w:styleId="AllowPageBreak">
    <w:name w:val="AllowPageBreak"/>
    <w:rsid w:val="00B24A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4A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A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A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A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A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A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A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A3E"/>
    <w:rPr>
      <w:rFonts w:ascii="Courier New" w:eastAsia="Times New Roman" w:hAnsi="Courier New" w:cs="Times New Roman"/>
      <w:i/>
      <w:szCs w:val="20"/>
      <w:lang w:eastAsia="en-US"/>
    </w:rPr>
  </w:style>
  <w:style w:type="paragraph" w:customStyle="1" w:styleId="HeadingBase">
    <w:name w:val="Heading Base"/>
    <w:rsid w:val="00B24A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A3E"/>
    <w:pPr>
      <w:tabs>
        <w:tab w:val="right" w:leader="dot" w:pos="9072"/>
      </w:tabs>
      <w:ind w:left="567"/>
    </w:pPr>
    <w:rPr>
      <w:szCs w:val="22"/>
    </w:rPr>
  </w:style>
  <w:style w:type="paragraph" w:customStyle="1" w:styleId="TOCBase">
    <w:name w:val="TOC Base"/>
    <w:rsid w:val="00B24A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A3E"/>
    <w:pPr>
      <w:tabs>
        <w:tab w:val="right" w:leader="dot" w:pos="9072"/>
      </w:tabs>
      <w:spacing w:before="40" w:after="40"/>
      <w:ind w:left="284"/>
    </w:pPr>
    <w:rPr>
      <w:rFonts w:ascii="Times New Roman" w:hAnsi="Times New Roman"/>
    </w:rPr>
  </w:style>
  <w:style w:type="paragraph" w:styleId="TOC1">
    <w:name w:val="toc 1"/>
    <w:basedOn w:val="TOCBase"/>
    <w:next w:val="Normal"/>
    <w:rsid w:val="00B24A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A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A3E"/>
    <w:rPr>
      <w:rFonts w:ascii="Times New Roman" w:eastAsia="Times New Roman" w:hAnsi="Times New Roman" w:cs="Times New Roman"/>
      <w:sz w:val="16"/>
      <w:lang w:eastAsia="en-US"/>
    </w:rPr>
  </w:style>
  <w:style w:type="paragraph" w:styleId="Title">
    <w:name w:val="Title"/>
    <w:basedOn w:val="HeadingBase"/>
    <w:link w:val="TitleChar"/>
    <w:qFormat/>
    <w:rsid w:val="00B24A3E"/>
    <w:pPr>
      <w:spacing w:before="5040"/>
      <w:jc w:val="center"/>
    </w:pPr>
    <w:rPr>
      <w:sz w:val="48"/>
      <w:szCs w:val="72"/>
      <w:lang w:val="en-US"/>
    </w:rPr>
  </w:style>
  <w:style w:type="character" w:customStyle="1" w:styleId="TitleChar">
    <w:name w:val="Title Char"/>
    <w:basedOn w:val="DefaultParagraphFont"/>
    <w:link w:val="Title"/>
    <w:rsid w:val="00B24A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A3E"/>
    <w:pPr>
      <w:tabs>
        <w:tab w:val="left" w:pos="3600"/>
        <w:tab w:val="left" w:pos="3958"/>
      </w:tabs>
    </w:pPr>
  </w:style>
  <w:style w:type="paragraph" w:styleId="List">
    <w:name w:val="List"/>
    <w:basedOn w:val="BodyText"/>
    <w:next w:val="BodyText"/>
    <w:rsid w:val="00B24A3E"/>
    <w:pPr>
      <w:tabs>
        <w:tab w:val="left" w:pos="340"/>
      </w:tabs>
      <w:spacing w:before="60" w:after="60"/>
      <w:ind w:left="340" w:hanging="340"/>
    </w:pPr>
  </w:style>
  <w:style w:type="paragraph" w:styleId="ListBullet">
    <w:name w:val="List Bullet"/>
    <w:basedOn w:val="List"/>
    <w:rsid w:val="00B24A3E"/>
    <w:pPr>
      <w:numPr>
        <w:numId w:val="10"/>
      </w:numPr>
      <w:tabs>
        <w:tab w:val="clear" w:pos="340"/>
      </w:tabs>
      <w:spacing w:before="40" w:after="40"/>
    </w:pPr>
  </w:style>
  <w:style w:type="paragraph" w:customStyle="1" w:styleId="Note">
    <w:name w:val="Note"/>
    <w:basedOn w:val="BodyText"/>
    <w:rsid w:val="00B24A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A3E"/>
    <w:pPr>
      <w:framePr w:wrap="auto" w:hAnchor="text" w:y="6049"/>
    </w:pPr>
    <w:rPr>
      <w:color w:val="000000"/>
      <w:sz w:val="40"/>
    </w:rPr>
  </w:style>
  <w:style w:type="paragraph" w:customStyle="1" w:styleId="TOCTitle">
    <w:name w:val="TOCTitle"/>
    <w:basedOn w:val="Heading1"/>
    <w:rsid w:val="00B24A3E"/>
    <w:pPr>
      <w:spacing w:after="240"/>
      <w:jc w:val="center"/>
      <w:outlineLvl w:val="9"/>
    </w:pPr>
    <w:rPr>
      <w:caps/>
    </w:rPr>
  </w:style>
  <w:style w:type="paragraph" w:customStyle="1" w:styleId="Version">
    <w:name w:val="Version"/>
    <w:rsid w:val="00B24A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4A3E"/>
    <w:pPr>
      <w:numPr>
        <w:numId w:val="11"/>
      </w:numPr>
      <w:tabs>
        <w:tab w:val="clear" w:pos="680"/>
      </w:tabs>
    </w:pPr>
  </w:style>
  <w:style w:type="paragraph" w:styleId="Index1">
    <w:name w:val="index 1"/>
    <w:basedOn w:val="Normal"/>
    <w:next w:val="Normal"/>
    <w:semiHidden/>
    <w:rsid w:val="00B24A3E"/>
    <w:pPr>
      <w:keepNext w:val="0"/>
      <w:tabs>
        <w:tab w:val="right" w:pos="4176"/>
      </w:tabs>
      <w:ind w:left="198" w:hanging="198"/>
    </w:pPr>
    <w:rPr>
      <w:rFonts w:ascii="Garamond" w:hAnsi="Garamond"/>
    </w:rPr>
  </w:style>
  <w:style w:type="paragraph" w:styleId="IndexHeading">
    <w:name w:val="index heading"/>
    <w:basedOn w:val="Normal"/>
    <w:next w:val="Index1"/>
    <w:semiHidden/>
    <w:rsid w:val="00B24A3E"/>
    <w:pPr>
      <w:spacing w:before="120" w:after="120"/>
    </w:pPr>
    <w:rPr>
      <w:rFonts w:ascii="Arial" w:hAnsi="Arial"/>
      <w:b/>
      <w:color w:val="918585"/>
      <w:sz w:val="24"/>
    </w:rPr>
  </w:style>
  <w:style w:type="paragraph" w:styleId="Header">
    <w:name w:val="header"/>
    <w:basedOn w:val="Normal"/>
    <w:link w:val="HeaderChar"/>
    <w:rsid w:val="00B24A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A3E"/>
    <w:rPr>
      <w:rFonts w:ascii="Times New Roman" w:eastAsia="Times New Roman" w:hAnsi="Times New Roman" w:cs="Times New Roman"/>
      <w:sz w:val="16"/>
      <w:szCs w:val="20"/>
      <w:lang w:val="en-GB" w:eastAsia="en-US"/>
    </w:rPr>
  </w:style>
  <w:style w:type="paragraph" w:customStyle="1" w:styleId="Chapter">
    <w:name w:val="Chapter"/>
    <w:basedOn w:val="Normal"/>
    <w:rsid w:val="00B24A3E"/>
    <w:pPr>
      <w:spacing w:before="240"/>
    </w:pPr>
    <w:rPr>
      <w:rFonts w:ascii="Times New Roman" w:hAnsi="Times New Roman"/>
      <w:smallCaps/>
      <w:spacing w:val="80"/>
      <w:sz w:val="28"/>
    </w:rPr>
  </w:style>
  <w:style w:type="paragraph" w:customStyle="1" w:styleId="InChapter">
    <w:name w:val="InChapter"/>
    <w:basedOn w:val="Heading3"/>
    <w:rsid w:val="00B24A3E"/>
    <w:pPr>
      <w:spacing w:after="240"/>
      <w:outlineLvl w:val="9"/>
    </w:pPr>
    <w:rPr>
      <w:noProof/>
    </w:rPr>
  </w:style>
  <w:style w:type="paragraph" w:styleId="Index2">
    <w:name w:val="index 2"/>
    <w:basedOn w:val="Normal"/>
    <w:next w:val="Normal"/>
    <w:semiHidden/>
    <w:rsid w:val="00B24A3E"/>
    <w:pPr>
      <w:tabs>
        <w:tab w:val="right" w:pos="4176"/>
      </w:tabs>
      <w:ind w:left="568" w:hanging="284"/>
    </w:pPr>
    <w:rPr>
      <w:rFonts w:ascii="Garamond" w:hAnsi="Garamond"/>
    </w:rPr>
  </w:style>
  <w:style w:type="paragraph" w:customStyle="1" w:styleId="Byline">
    <w:name w:val="Byline"/>
    <w:rsid w:val="00B24A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A3E"/>
    <w:pPr>
      <w:tabs>
        <w:tab w:val="clear" w:pos="3600"/>
        <w:tab w:val="clear" w:pos="3958"/>
      </w:tabs>
      <w:jc w:val="right"/>
    </w:pPr>
  </w:style>
  <w:style w:type="character" w:styleId="Emphasis">
    <w:name w:val="Emphasis"/>
    <w:basedOn w:val="DefaultParagraphFont"/>
    <w:qFormat/>
    <w:rsid w:val="00B24A3E"/>
    <w:rPr>
      <w:i/>
    </w:rPr>
  </w:style>
  <w:style w:type="paragraph" w:styleId="Caption">
    <w:name w:val="caption"/>
    <w:basedOn w:val="BodyText"/>
    <w:next w:val="Normal"/>
    <w:qFormat/>
    <w:rsid w:val="00B24A3E"/>
    <w:pPr>
      <w:framePr w:w="2268" w:hSpace="181" w:vSpace="181" w:wrap="around" w:vAnchor="text" w:hAnchor="page" w:x="1135" w:y="285" w:anchorLock="1"/>
    </w:pPr>
    <w:rPr>
      <w:i/>
    </w:rPr>
  </w:style>
  <w:style w:type="paragraph" w:customStyle="1" w:styleId="MiniTOCTitle">
    <w:name w:val="MiniTOCTitle"/>
    <w:basedOn w:val="Heading4"/>
    <w:rsid w:val="00B24A3E"/>
    <w:pPr>
      <w:spacing w:before="240"/>
      <w:outlineLvl w:val="9"/>
    </w:pPr>
    <w:rPr>
      <w:noProof/>
      <w:sz w:val="24"/>
    </w:rPr>
  </w:style>
  <w:style w:type="paragraph" w:customStyle="1" w:styleId="MiniTOCItem">
    <w:name w:val="MiniTOCItem"/>
    <w:basedOn w:val="ListBullet"/>
    <w:rsid w:val="00B24A3E"/>
    <w:pPr>
      <w:numPr>
        <w:numId w:val="0"/>
      </w:numPr>
      <w:tabs>
        <w:tab w:val="right" w:leader="dot" w:pos="6521"/>
      </w:tabs>
      <w:spacing w:before="0" w:after="0"/>
    </w:pPr>
  </w:style>
  <w:style w:type="paragraph" w:customStyle="1" w:styleId="TOFTitle">
    <w:name w:val="TOFTitle"/>
    <w:basedOn w:val="TOCTitle"/>
    <w:rsid w:val="00B24A3E"/>
  </w:style>
  <w:style w:type="paragraph" w:styleId="TableofFigures">
    <w:name w:val="table of figures"/>
    <w:basedOn w:val="Normal"/>
    <w:next w:val="Normal"/>
    <w:semiHidden/>
    <w:rsid w:val="00B24A3E"/>
    <w:pPr>
      <w:tabs>
        <w:tab w:val="right" w:leader="dot" w:pos="9072"/>
      </w:tabs>
      <w:ind w:left="970" w:hanging="403"/>
    </w:pPr>
    <w:rPr>
      <w:rFonts w:ascii="Times New Roman" w:hAnsi="Times New Roman"/>
      <w:b/>
    </w:rPr>
  </w:style>
  <w:style w:type="paragraph" w:styleId="ListNumber">
    <w:name w:val="List Number"/>
    <w:basedOn w:val="List"/>
    <w:rsid w:val="00B24A3E"/>
    <w:pPr>
      <w:numPr>
        <w:numId w:val="13"/>
      </w:numPr>
      <w:tabs>
        <w:tab w:val="clear" w:pos="340"/>
      </w:tabs>
    </w:pPr>
  </w:style>
  <w:style w:type="character" w:customStyle="1" w:styleId="WingdingSymbols">
    <w:name w:val="Wingding Symbols"/>
    <w:rsid w:val="00B24A3E"/>
    <w:rPr>
      <w:rFonts w:ascii="Wingdings" w:hAnsi="Wingdings"/>
    </w:rPr>
  </w:style>
  <w:style w:type="paragraph" w:customStyle="1" w:styleId="TableHeading">
    <w:name w:val="Table Heading"/>
    <w:basedOn w:val="HeadingBase"/>
    <w:rsid w:val="00B24A3E"/>
    <w:pPr>
      <w:keepLines/>
      <w:pBdr>
        <w:bottom w:val="single" w:sz="6" w:space="1" w:color="918585"/>
      </w:pBdr>
      <w:spacing w:before="240"/>
    </w:pPr>
  </w:style>
  <w:style w:type="character" w:customStyle="1" w:styleId="HotSpot">
    <w:name w:val="HotSpot"/>
    <w:rsid w:val="00B24A3E"/>
    <w:rPr>
      <w:color w:val="0033CC"/>
      <w:u w:val="none"/>
    </w:rPr>
  </w:style>
  <w:style w:type="paragraph" w:customStyle="1" w:styleId="BodyTextRight">
    <w:name w:val="Body Text Right"/>
    <w:basedOn w:val="BodyText"/>
    <w:rsid w:val="00B24A3E"/>
    <w:pPr>
      <w:spacing w:before="0" w:after="0"/>
      <w:jc w:val="right"/>
    </w:pPr>
  </w:style>
  <w:style w:type="paragraph" w:styleId="Index3">
    <w:name w:val="index 3"/>
    <w:basedOn w:val="ListNumber2"/>
    <w:next w:val="Normal"/>
    <w:semiHidden/>
    <w:rsid w:val="00B24A3E"/>
    <w:pPr>
      <w:numPr>
        <w:numId w:val="0"/>
      </w:numPr>
      <w:tabs>
        <w:tab w:val="right" w:leader="dot" w:pos="4176"/>
      </w:tabs>
    </w:pPr>
  </w:style>
  <w:style w:type="paragraph" w:styleId="ListNumber2">
    <w:name w:val="List Number 2"/>
    <w:basedOn w:val="List2"/>
    <w:rsid w:val="00B24A3E"/>
    <w:pPr>
      <w:numPr>
        <w:numId w:val="8"/>
      </w:numPr>
      <w:tabs>
        <w:tab w:val="clear" w:pos="1060"/>
      </w:tabs>
    </w:pPr>
  </w:style>
  <w:style w:type="paragraph" w:customStyle="1" w:styleId="MarginNote">
    <w:name w:val="Margin Note"/>
    <w:basedOn w:val="BodyText"/>
    <w:rsid w:val="00B24A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A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A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A3E"/>
    <w:rPr>
      <w:sz w:val="32"/>
    </w:rPr>
  </w:style>
  <w:style w:type="paragraph" w:customStyle="1" w:styleId="HeadingProcedure">
    <w:name w:val="Heading Procedure"/>
    <w:basedOn w:val="HeadingBase"/>
    <w:next w:val="Normal"/>
    <w:rsid w:val="00B24A3E"/>
    <w:pPr>
      <w:tabs>
        <w:tab w:val="left" w:pos="0"/>
      </w:tabs>
      <w:spacing w:before="120" w:after="60"/>
    </w:pPr>
    <w:rPr>
      <w:i/>
      <w:color w:val="918585"/>
      <w:sz w:val="22"/>
    </w:rPr>
  </w:style>
  <w:style w:type="paragraph" w:customStyle="1" w:styleId="TableBodyText">
    <w:name w:val="Table Body Text"/>
    <w:basedOn w:val="BodyText"/>
    <w:rsid w:val="00B24A3E"/>
    <w:pPr>
      <w:spacing w:before="60" w:after="60"/>
    </w:pPr>
  </w:style>
  <w:style w:type="paragraph" w:styleId="ListContinue">
    <w:name w:val="List Continue"/>
    <w:basedOn w:val="List"/>
    <w:rsid w:val="00B24A3E"/>
    <w:pPr>
      <w:ind w:firstLine="0"/>
    </w:pPr>
  </w:style>
  <w:style w:type="paragraph" w:customStyle="1" w:styleId="ListNote">
    <w:name w:val="List Note"/>
    <w:basedOn w:val="List"/>
    <w:rsid w:val="00B24A3E"/>
    <w:pPr>
      <w:pBdr>
        <w:top w:val="single" w:sz="6" w:space="2" w:color="918585"/>
        <w:bottom w:val="single" w:sz="6" w:space="2" w:color="918585"/>
      </w:pBdr>
      <w:tabs>
        <w:tab w:val="left" w:pos="1021"/>
      </w:tabs>
      <w:ind w:firstLine="0"/>
    </w:pPr>
  </w:style>
  <w:style w:type="paragraph" w:customStyle="1" w:styleId="Warning">
    <w:name w:val="Warning"/>
    <w:basedOn w:val="BodyText"/>
    <w:rsid w:val="00B24A3E"/>
    <w:pPr>
      <w:shd w:val="clear" w:color="auto" w:fill="D9D9D9"/>
      <w:tabs>
        <w:tab w:val="left" w:pos="992"/>
      </w:tabs>
      <w:ind w:left="119" w:right="119"/>
    </w:pPr>
    <w:rPr>
      <w:sz w:val="20"/>
    </w:rPr>
  </w:style>
  <w:style w:type="paragraph" w:customStyle="1" w:styleId="MarginIcons">
    <w:name w:val="Margin Icons"/>
    <w:basedOn w:val="BodyText"/>
    <w:rsid w:val="00B24A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A3E"/>
    <w:rPr>
      <w:rFonts w:ascii="Courier New" w:hAnsi="Courier New"/>
    </w:rPr>
  </w:style>
  <w:style w:type="paragraph" w:customStyle="1" w:styleId="NoteBullet">
    <w:name w:val="Note Bullet"/>
    <w:basedOn w:val="Note"/>
    <w:rsid w:val="00B24A3E"/>
    <w:pPr>
      <w:tabs>
        <w:tab w:val="clear" w:pos="680"/>
      </w:tabs>
      <w:spacing w:before="60" w:after="60"/>
    </w:pPr>
  </w:style>
  <w:style w:type="paragraph" w:customStyle="1" w:styleId="SubHeading2">
    <w:name w:val="SubHeading2"/>
    <w:basedOn w:val="HeadingBase"/>
    <w:rsid w:val="00B24A3E"/>
    <w:pPr>
      <w:spacing w:before="240" w:after="60"/>
    </w:pPr>
    <w:rPr>
      <w:sz w:val="20"/>
    </w:rPr>
  </w:style>
  <w:style w:type="paragraph" w:customStyle="1" w:styleId="SubHeading1">
    <w:name w:val="SubHeading1"/>
    <w:basedOn w:val="HeadingBase"/>
    <w:rsid w:val="00B24A3E"/>
    <w:pPr>
      <w:spacing w:before="240" w:after="60"/>
    </w:pPr>
    <w:rPr>
      <w:color w:val="918585"/>
      <w:sz w:val="22"/>
    </w:rPr>
  </w:style>
  <w:style w:type="paragraph" w:customStyle="1" w:styleId="SideHeading">
    <w:name w:val="Side Heading"/>
    <w:basedOn w:val="HeadingBase"/>
    <w:rsid w:val="00B24A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A3E"/>
    <w:pPr>
      <w:numPr>
        <w:numId w:val="9"/>
      </w:numPr>
    </w:pPr>
  </w:style>
  <w:style w:type="paragraph" w:styleId="PlainText">
    <w:name w:val="Plain Text"/>
    <w:basedOn w:val="Normal"/>
    <w:link w:val="PlainTextChar"/>
    <w:rsid w:val="00B24A3E"/>
    <w:rPr>
      <w:sz w:val="20"/>
    </w:rPr>
  </w:style>
  <w:style w:type="character" w:customStyle="1" w:styleId="PlainTextChar">
    <w:name w:val="Plain Text Char"/>
    <w:basedOn w:val="DefaultParagraphFont"/>
    <w:link w:val="PlainText"/>
    <w:rsid w:val="00B24A3E"/>
    <w:rPr>
      <w:rFonts w:ascii="Courier New" w:eastAsia="Times New Roman" w:hAnsi="Courier New" w:cs="Times New Roman"/>
      <w:sz w:val="20"/>
      <w:szCs w:val="20"/>
      <w:lang w:eastAsia="en-US"/>
    </w:rPr>
  </w:style>
  <w:style w:type="character" w:customStyle="1" w:styleId="MenuOption">
    <w:name w:val="Menu Option"/>
    <w:basedOn w:val="DefaultParagraphFont"/>
    <w:rsid w:val="00B24A3E"/>
    <w:rPr>
      <w:b/>
      <w:smallCaps/>
    </w:rPr>
  </w:style>
  <w:style w:type="paragraph" w:customStyle="1" w:styleId="TableListNumber">
    <w:name w:val="Table List Number"/>
    <w:basedOn w:val="ListNumber"/>
    <w:rsid w:val="00B24A3E"/>
    <w:pPr>
      <w:numPr>
        <w:numId w:val="0"/>
      </w:numPr>
    </w:pPr>
  </w:style>
  <w:style w:type="paragraph" w:styleId="TOC4">
    <w:name w:val="toc 4"/>
    <w:basedOn w:val="TOCBase"/>
    <w:next w:val="Normal"/>
    <w:semiHidden/>
    <w:rsid w:val="00B24A3E"/>
    <w:pPr>
      <w:tabs>
        <w:tab w:val="right" w:leader="dot" w:pos="9071"/>
      </w:tabs>
      <w:ind w:left="1701"/>
    </w:pPr>
  </w:style>
  <w:style w:type="paragraph" w:customStyle="1" w:styleId="ListAlpha">
    <w:name w:val="List Alpha"/>
    <w:basedOn w:val="List"/>
    <w:rsid w:val="00B24A3E"/>
    <w:pPr>
      <w:numPr>
        <w:numId w:val="7"/>
      </w:numPr>
    </w:pPr>
  </w:style>
  <w:style w:type="paragraph" w:customStyle="1" w:styleId="ListAlpha2">
    <w:name w:val="List Alpha 2"/>
    <w:basedOn w:val="List2"/>
    <w:rsid w:val="00B24A3E"/>
    <w:pPr>
      <w:numPr>
        <w:numId w:val="6"/>
      </w:numPr>
    </w:pPr>
  </w:style>
  <w:style w:type="paragraph" w:styleId="List2">
    <w:name w:val="List 2"/>
    <w:basedOn w:val="BodyText"/>
    <w:rsid w:val="00B24A3E"/>
    <w:pPr>
      <w:tabs>
        <w:tab w:val="left" w:pos="680"/>
      </w:tabs>
      <w:spacing w:before="60" w:after="60"/>
      <w:ind w:left="680" w:hanging="340"/>
    </w:pPr>
  </w:style>
  <w:style w:type="paragraph" w:styleId="List3">
    <w:name w:val="List 3"/>
    <w:basedOn w:val="BodyText"/>
    <w:rsid w:val="00B24A3E"/>
    <w:pPr>
      <w:tabs>
        <w:tab w:val="left" w:pos="1021"/>
      </w:tabs>
      <w:spacing w:before="60" w:after="60"/>
      <w:ind w:left="1020" w:hanging="340"/>
    </w:pPr>
  </w:style>
  <w:style w:type="paragraph" w:styleId="List4">
    <w:name w:val="List 4"/>
    <w:basedOn w:val="BodyText"/>
    <w:rsid w:val="00B24A3E"/>
    <w:pPr>
      <w:tabs>
        <w:tab w:val="left" w:pos="1361"/>
      </w:tabs>
      <w:spacing w:before="60" w:after="60"/>
      <w:ind w:left="1361" w:hanging="340"/>
    </w:pPr>
  </w:style>
  <w:style w:type="paragraph" w:styleId="List5">
    <w:name w:val="List 5"/>
    <w:basedOn w:val="BodyText"/>
    <w:rsid w:val="00B24A3E"/>
    <w:pPr>
      <w:tabs>
        <w:tab w:val="left" w:pos="1701"/>
      </w:tabs>
      <w:spacing w:before="60" w:after="60"/>
      <w:ind w:left="1701" w:hanging="340"/>
    </w:pPr>
  </w:style>
  <w:style w:type="paragraph" w:styleId="ListBullet3">
    <w:name w:val="List Bullet 3"/>
    <w:basedOn w:val="List3"/>
    <w:rsid w:val="00B24A3E"/>
    <w:pPr>
      <w:numPr>
        <w:numId w:val="12"/>
      </w:numPr>
      <w:tabs>
        <w:tab w:val="clear" w:pos="1021"/>
      </w:tabs>
      <w:ind w:left="1037" w:hanging="357"/>
    </w:pPr>
  </w:style>
  <w:style w:type="paragraph" w:styleId="ListBullet4">
    <w:name w:val="List Bullet 4"/>
    <w:basedOn w:val="List4"/>
    <w:rsid w:val="00B24A3E"/>
    <w:pPr>
      <w:numPr>
        <w:numId w:val="1"/>
      </w:numPr>
      <w:tabs>
        <w:tab w:val="clear" w:pos="1361"/>
      </w:tabs>
    </w:pPr>
  </w:style>
  <w:style w:type="paragraph" w:styleId="ListBullet5">
    <w:name w:val="List Bullet 5"/>
    <w:basedOn w:val="List5"/>
    <w:rsid w:val="00B24A3E"/>
    <w:pPr>
      <w:numPr>
        <w:numId w:val="2"/>
      </w:numPr>
    </w:pPr>
  </w:style>
  <w:style w:type="paragraph" w:styleId="ListContinue2">
    <w:name w:val="List Continue 2"/>
    <w:basedOn w:val="List2"/>
    <w:rsid w:val="00B24A3E"/>
    <w:pPr>
      <w:ind w:firstLine="0"/>
    </w:pPr>
  </w:style>
  <w:style w:type="paragraph" w:styleId="ListContinue3">
    <w:name w:val="List Continue 3"/>
    <w:basedOn w:val="List3"/>
    <w:rsid w:val="00B24A3E"/>
    <w:pPr>
      <w:ind w:left="1021" w:firstLine="0"/>
    </w:pPr>
  </w:style>
  <w:style w:type="paragraph" w:styleId="ListContinue4">
    <w:name w:val="List Continue 4"/>
    <w:basedOn w:val="List4"/>
    <w:rsid w:val="00B24A3E"/>
    <w:pPr>
      <w:ind w:firstLine="0"/>
    </w:pPr>
  </w:style>
  <w:style w:type="paragraph" w:styleId="ListContinue5">
    <w:name w:val="List Continue 5"/>
    <w:basedOn w:val="List5"/>
    <w:rsid w:val="00B24A3E"/>
    <w:pPr>
      <w:ind w:firstLine="0"/>
    </w:pPr>
  </w:style>
  <w:style w:type="paragraph" w:styleId="ListNumber3">
    <w:name w:val="List Number 3"/>
    <w:basedOn w:val="List3"/>
    <w:rsid w:val="00B24A3E"/>
    <w:pPr>
      <w:numPr>
        <w:numId w:val="3"/>
      </w:numPr>
    </w:pPr>
  </w:style>
  <w:style w:type="paragraph" w:styleId="ListNumber4">
    <w:name w:val="List Number 4"/>
    <w:basedOn w:val="List4"/>
    <w:rsid w:val="00B24A3E"/>
    <w:pPr>
      <w:numPr>
        <w:numId w:val="4"/>
      </w:numPr>
    </w:pPr>
  </w:style>
  <w:style w:type="paragraph" w:styleId="ListNumber5">
    <w:name w:val="List Number 5"/>
    <w:basedOn w:val="List5"/>
    <w:rsid w:val="00B24A3E"/>
    <w:pPr>
      <w:numPr>
        <w:numId w:val="5"/>
      </w:numPr>
    </w:pPr>
  </w:style>
  <w:style w:type="paragraph" w:styleId="BlockText">
    <w:name w:val="Block Text"/>
    <w:basedOn w:val="Normal"/>
    <w:rsid w:val="00B24A3E"/>
    <w:pPr>
      <w:spacing w:after="120"/>
      <w:ind w:left="1440" w:right="1440"/>
    </w:pPr>
  </w:style>
  <w:style w:type="character" w:customStyle="1" w:styleId="Subscript">
    <w:name w:val="Subscript"/>
    <w:basedOn w:val="DefaultParagraphFont"/>
    <w:rsid w:val="00B24A3E"/>
    <w:rPr>
      <w:sz w:val="16"/>
      <w:vertAlign w:val="subscript"/>
    </w:rPr>
  </w:style>
  <w:style w:type="character" w:customStyle="1" w:styleId="Superscript">
    <w:name w:val="Superscript"/>
    <w:basedOn w:val="DefaultParagraphFont"/>
    <w:rsid w:val="00B24A3E"/>
    <w:rPr>
      <w:sz w:val="16"/>
      <w:vertAlign w:val="superscript"/>
    </w:rPr>
  </w:style>
  <w:style w:type="character" w:customStyle="1" w:styleId="Symbols">
    <w:name w:val="Symbols"/>
    <w:basedOn w:val="DefaultParagraphFont"/>
    <w:rsid w:val="00B24A3E"/>
    <w:rPr>
      <w:rFonts w:ascii="Symbol" w:hAnsi="Symbol"/>
    </w:rPr>
  </w:style>
  <w:style w:type="character" w:customStyle="1" w:styleId="MenuOptions">
    <w:name w:val="Menu Options"/>
    <w:basedOn w:val="DefaultParagraphFont"/>
    <w:rsid w:val="00B24A3E"/>
    <w:rPr>
      <w:rFonts w:ascii="Arial Narrow" w:hAnsi="Arial Narrow"/>
      <w:smallCaps/>
    </w:rPr>
  </w:style>
  <w:style w:type="character" w:customStyle="1" w:styleId="Buttons">
    <w:name w:val="Buttons"/>
    <w:basedOn w:val="DefaultParagraphFont"/>
    <w:rsid w:val="00B24A3E"/>
    <w:rPr>
      <w:b/>
    </w:rPr>
  </w:style>
  <w:style w:type="character" w:customStyle="1" w:styleId="Underlined">
    <w:name w:val="Underlined"/>
    <w:basedOn w:val="DefaultParagraphFont"/>
    <w:rsid w:val="00B24A3E"/>
    <w:rPr>
      <w:u w:val="single"/>
    </w:rPr>
  </w:style>
  <w:style w:type="paragraph" w:customStyle="1" w:styleId="TableBodyTextRight">
    <w:name w:val="Table Body Text Right"/>
    <w:basedOn w:val="TableBodyText"/>
    <w:rsid w:val="00B24A3E"/>
    <w:pPr>
      <w:widowControl w:val="0"/>
      <w:autoSpaceDE w:val="0"/>
      <w:autoSpaceDN w:val="0"/>
      <w:adjustRightInd w:val="0"/>
      <w:jc w:val="right"/>
    </w:pPr>
    <w:rPr>
      <w:rFonts w:cs="Arial"/>
      <w:szCs w:val="18"/>
    </w:rPr>
  </w:style>
  <w:style w:type="paragraph" w:customStyle="1" w:styleId="CopyrightText">
    <w:name w:val="Copyright Text"/>
    <w:basedOn w:val="BodyText"/>
    <w:rsid w:val="00B24A3E"/>
    <w:rPr>
      <w:sz w:val="18"/>
    </w:rPr>
  </w:style>
  <w:style w:type="paragraph" w:customStyle="1" w:styleId="BodySmallRight">
    <w:name w:val="Body Small Right"/>
    <w:basedOn w:val="BodyTextRight"/>
    <w:rsid w:val="00B24A3E"/>
    <w:rPr>
      <w:sz w:val="18"/>
      <w:szCs w:val="18"/>
    </w:rPr>
  </w:style>
  <w:style w:type="paragraph" w:customStyle="1" w:styleId="MarginEdition">
    <w:name w:val="Margin Edition"/>
    <w:basedOn w:val="MarginNote"/>
    <w:rsid w:val="00B24A3E"/>
    <w:pPr>
      <w:spacing w:before="0" w:after="0"/>
    </w:pPr>
    <w:rPr>
      <w:rFonts w:ascii="Times New Roman" w:hAnsi="Times New Roman"/>
      <w:color w:val="999999"/>
    </w:rPr>
  </w:style>
  <w:style w:type="paragraph" w:customStyle="1" w:styleId="Spacer">
    <w:name w:val="Spacer"/>
    <w:basedOn w:val="Normal"/>
    <w:rsid w:val="00B24A3E"/>
    <w:rPr>
      <w:sz w:val="2"/>
      <w:szCs w:val="2"/>
    </w:rPr>
  </w:style>
  <w:style w:type="character" w:customStyle="1" w:styleId="Small">
    <w:name w:val="Small"/>
    <w:basedOn w:val="DefaultParagraphFont"/>
    <w:rsid w:val="00B24A3E"/>
    <w:rPr>
      <w:sz w:val="16"/>
    </w:rPr>
  </w:style>
  <w:style w:type="paragraph" w:customStyle="1" w:styleId="WideTable">
    <w:name w:val="Wide Table"/>
    <w:basedOn w:val="Normal"/>
    <w:rsid w:val="00B24A3E"/>
    <w:pPr>
      <w:ind w:left="-1418"/>
    </w:pPr>
    <w:rPr>
      <w:sz w:val="2"/>
      <w:szCs w:val="2"/>
    </w:rPr>
  </w:style>
  <w:style w:type="character" w:styleId="PageNumber">
    <w:name w:val="page number"/>
    <w:basedOn w:val="DefaultParagraphFont"/>
    <w:rsid w:val="00B24A3E"/>
  </w:style>
  <w:style w:type="paragraph" w:styleId="Quote">
    <w:name w:val="Quote"/>
    <w:basedOn w:val="Heading1"/>
    <w:link w:val="QuoteChar"/>
    <w:qFormat/>
    <w:rsid w:val="00B24A3E"/>
    <w:rPr>
      <w:b w:val="0"/>
      <w:sz w:val="72"/>
      <w:szCs w:val="72"/>
      <w:lang w:val="en-NZ"/>
    </w:rPr>
  </w:style>
  <w:style w:type="character" w:customStyle="1" w:styleId="QuoteChar">
    <w:name w:val="Quote Char"/>
    <w:basedOn w:val="DefaultParagraphFont"/>
    <w:link w:val="Quote"/>
    <w:rsid w:val="00B24A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A3E"/>
    <w:pPr>
      <w:pageBreakBefore/>
    </w:pPr>
  </w:style>
  <w:style w:type="paragraph" w:customStyle="1" w:styleId="Border">
    <w:name w:val="Border"/>
    <w:basedOn w:val="Normal"/>
    <w:qFormat/>
    <w:rsid w:val="00B24A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A3E"/>
    <w:rPr>
      <w:b/>
      <w:bCs/>
      <w:i/>
      <w:iCs/>
      <w:color w:val="auto"/>
    </w:rPr>
  </w:style>
  <w:style w:type="paragraph" w:styleId="IntenseQuote">
    <w:name w:val="Intense Quote"/>
    <w:basedOn w:val="Normal"/>
    <w:next w:val="Normal"/>
    <w:link w:val="IntenseQuoteChar"/>
    <w:uiPriority w:val="30"/>
    <w:qFormat/>
    <w:rsid w:val="00B24A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A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A3E"/>
    <w:rPr>
      <w:smallCaps/>
      <w:color w:val="auto"/>
      <w:u w:val="single"/>
    </w:rPr>
  </w:style>
  <w:style w:type="character" w:styleId="IntenseReference">
    <w:name w:val="Intense Reference"/>
    <w:basedOn w:val="DefaultParagraphFont"/>
    <w:uiPriority w:val="32"/>
    <w:qFormat/>
    <w:rsid w:val="00B24A3E"/>
    <w:rPr>
      <w:b/>
      <w:bCs/>
      <w:smallCaps/>
      <w:color w:val="auto"/>
      <w:spacing w:val="5"/>
      <w:u w:val="single"/>
    </w:rPr>
  </w:style>
  <w:style w:type="paragraph" w:customStyle="1" w:styleId="2ColumnHeading">
    <w:name w:val="2Column Heading"/>
    <w:basedOn w:val="BodyText"/>
    <w:qFormat/>
    <w:rsid w:val="00B24A3E"/>
    <w:pPr>
      <w:spacing w:after="60"/>
      <w:ind w:left="-2268"/>
    </w:pPr>
    <w:rPr>
      <w:b/>
    </w:rPr>
  </w:style>
  <w:style w:type="paragraph" w:customStyle="1" w:styleId="Heading1TOC">
    <w:name w:val="Heading1 TOC"/>
    <w:basedOn w:val="Normal"/>
    <w:qFormat/>
    <w:rsid w:val="00B24A3E"/>
    <w:pPr>
      <w:spacing w:before="240" w:after="120"/>
    </w:pPr>
    <w:rPr>
      <w:rFonts w:ascii="Times New Roman" w:hAnsi="Times New Roman"/>
      <w:b/>
      <w:sz w:val="32"/>
    </w:rPr>
  </w:style>
  <w:style w:type="paragraph" w:customStyle="1" w:styleId="Heading2TOC">
    <w:name w:val="Heading2 TOC"/>
    <w:basedOn w:val="Normal"/>
    <w:qFormat/>
    <w:rsid w:val="00B24A3E"/>
    <w:pPr>
      <w:spacing w:before="240" w:after="60"/>
    </w:pPr>
    <w:rPr>
      <w:rFonts w:ascii="Times New Roman" w:hAnsi="Times New Roman"/>
      <w:b/>
      <w:sz w:val="28"/>
    </w:rPr>
  </w:style>
  <w:style w:type="character" w:customStyle="1" w:styleId="Underline">
    <w:name w:val="Underline"/>
    <w:basedOn w:val="DefaultParagraphFont"/>
    <w:qFormat/>
    <w:rsid w:val="00B24A3E"/>
    <w:rPr>
      <w:u w:val="single"/>
    </w:rPr>
  </w:style>
  <w:style w:type="character" w:customStyle="1" w:styleId="BoldandItalics">
    <w:name w:val="Bold and Italics"/>
    <w:qFormat/>
    <w:rsid w:val="00B24A3E"/>
    <w:rPr>
      <w:b/>
      <w:i/>
      <w:u w:val="none"/>
    </w:rPr>
  </w:style>
  <w:style w:type="paragraph" w:styleId="BalloonText">
    <w:name w:val="Balloon Text"/>
    <w:basedOn w:val="Normal"/>
    <w:link w:val="BalloonTextChar"/>
    <w:rsid w:val="00B24A3E"/>
    <w:rPr>
      <w:rFonts w:ascii="Tahoma" w:hAnsi="Tahoma" w:cs="Tahoma"/>
      <w:sz w:val="16"/>
      <w:szCs w:val="16"/>
    </w:rPr>
  </w:style>
  <w:style w:type="character" w:customStyle="1" w:styleId="BalloonTextChar">
    <w:name w:val="Balloon Text Char"/>
    <w:basedOn w:val="DefaultParagraphFont"/>
    <w:link w:val="BalloonText"/>
    <w:rsid w:val="00B24A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A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A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A3E"/>
    <w:rPr>
      <w:b/>
      <w:color w:val="660033"/>
      <w:spacing w:val="0"/>
    </w:rPr>
  </w:style>
  <w:style w:type="paragraph" w:customStyle="1" w:styleId="Nameditemlist">
    <w:name w:val="Named item list"/>
    <w:basedOn w:val="BodyText"/>
    <w:qFormat/>
    <w:rsid w:val="00B24A3E"/>
    <w:pPr>
      <w:tabs>
        <w:tab w:val="left" w:pos="2835"/>
      </w:tabs>
      <w:ind w:left="2835" w:hanging="2835"/>
    </w:pPr>
  </w:style>
  <w:style w:type="paragraph" w:customStyle="1" w:styleId="BodyTextnopadding">
    <w:name w:val="Body Text no padding"/>
    <w:basedOn w:val="BodyText"/>
    <w:qFormat/>
    <w:rsid w:val="00B24A3E"/>
    <w:pPr>
      <w:spacing w:before="0" w:after="0"/>
    </w:pPr>
  </w:style>
  <w:style w:type="paragraph" w:customStyle="1" w:styleId="BodyTextBold">
    <w:name w:val="Body Text Bold"/>
    <w:basedOn w:val="BodyText"/>
    <w:qFormat/>
    <w:rsid w:val="00B24A3E"/>
    <w:rPr>
      <w:b/>
    </w:rPr>
  </w:style>
  <w:style w:type="character" w:styleId="Hyperlink">
    <w:name w:val="Hyperlink"/>
    <w:basedOn w:val="DefaultParagraphFont"/>
    <w:uiPriority w:val="99"/>
    <w:unhideWhenUsed/>
    <w:rsid w:val="00080E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4786</Characters>
  <Application>Microsoft Office Word</Application>
  <DocSecurity>0</DocSecurity>
  <Lines>217</Lines>
  <Paragraphs>106</Paragraphs>
  <ScaleCrop>false</ScaleCrop>
  <Company>Author-it Software Corporation Ltd.</Company>
  <LinksUpToDate>false</LinksUpToDate>
  <CharactersWithSpaces>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PUAFIR607 Apply electrical/electronic knowledge to fire investigations</dc:title>
  <dc:subject>Approved</dc:subject>
  <dc:creator>Australian Industry Standards</dc:creator>
  <cp:keywords>Release: 2</cp:keywords>
  <dc:description>Review Date: 12 April 2008</dc:description>
  <cp:lastModifiedBy>HSD_TPCMSd.prod</cp:lastModifiedBy>
  <cp:revision>3</cp:revision>
  <dcterms:created xsi:type="dcterms:W3CDTF">2022-12-16T01:07:00Z</dcterms:created>
  <dcterms:modified xsi:type="dcterms:W3CDTF">2022-12-16T01:07:00Z</dcterms:modified>
</cp:coreProperties>
</file>