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25A" w:rsidP="001D42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PUAFIR604 Determine origin and cause of structure fire</w:t>
      </w:r>
      <w:r>
        <w:fldChar w:fldCharType="end"/>
      </w:r>
    </w:p>
    <w:p w:rsidR="001D425A" w:rsidP="001D425A">
      <w:pPr>
        <w:pStyle w:val="Version"/>
        <w:sectPr w:rsidSect="00CA62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29B" w:rsidP="00CA629B">
      <w:pPr>
        <w:pStyle w:val="SuperHeading"/>
      </w:pPr>
      <w:r w:rsidRPr="00CA629B">
        <w:t>PUAFIR604 Determine origin and cause of structure fire</w:t>
      </w:r>
    </w:p>
    <w:p w:rsidR="00000000" w:rsidRPr="00CA629B" w:rsidP="00CA629B">
      <w:pPr>
        <w:pStyle w:val="Heading1"/>
      </w:pPr>
      <w:bookmarkStart w:id="1" w:name="O_1031001"/>
      <w:bookmarkEnd w:id="1"/>
      <w:r w:rsidRPr="00CA62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rPr>
                <w:rStyle w:val="SpecialBold"/>
              </w:rPr>
              <w:t>Release 1.</w:t>
            </w:r>
            <w:r w:rsidRPr="00CA629B">
              <w:t xml:space="preserve"> This is the first release of this unit of competency in the Public Safety Training Package.</w:t>
            </w:r>
          </w:p>
        </w:tc>
      </w:tr>
    </w:tbl>
    <w:p w:rsidR="001D425A" w:rsidP="00CA629B">
      <w:pPr>
        <w:pStyle w:val="NoPaddingFontSize1"/>
      </w:pPr>
    </w:p>
    <w:p w:rsidR="001D425A" w:rsidP="00CA629B">
      <w:pPr>
        <w:pStyle w:val="NoPaddingFontSize1"/>
      </w:pPr>
    </w:p>
    <w:p w:rsidR="00000000" w:rsidRPr="00CA629B" w:rsidP="00CA629B">
      <w:pPr>
        <w:pStyle w:val="Heading1"/>
      </w:pPr>
      <w:bookmarkStart w:id="2" w:name="O_1031002"/>
      <w:bookmarkEnd w:id="2"/>
      <w:r w:rsidRPr="00CA629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t>This unit of competency involves the skills and knowledge required to manage th</w:t>
            </w:r>
            <w:r w:rsidRPr="00CA629B">
              <w:t>e inspection and assessment of a structure fire to determine origin and cause. The unit focuses developing and applying a systematic approach to fire investigation in a structured environment.</w:t>
            </w:r>
          </w:p>
          <w:p w:rsidR="00000000" w:rsidRPr="00CA629B" w:rsidP="00CA629B">
            <w:pPr>
              <w:pStyle w:val="BodyText"/>
            </w:pPr>
            <w:r w:rsidRPr="00CA629B">
              <w:t>It includes originating structure fire investigations, securing</w:t>
            </w:r>
            <w:r w:rsidRPr="00CA629B">
              <w:t xml:space="preserve"> fire scenes and preserving evidence. It also includes the evaluation and examination of fire debris, identifying and recovering evidence relevant to a fire investigation, packaging items of evidence for examination and conducting a thorough analysis of fi</w:t>
            </w:r>
            <w:r w:rsidRPr="00CA629B">
              <w:t xml:space="preserve">re behaviour, development and travel as well as gathering evidence to establish fire cause. </w:t>
            </w:r>
          </w:p>
          <w:p w:rsidR="00000000" w:rsidRPr="00CA629B" w:rsidP="00CA629B">
            <w:pPr>
              <w:pStyle w:val="BodyText"/>
            </w:pPr>
            <w:r w:rsidRPr="00CA629B">
              <w:t>Application of this unit is relevant to fire investigators who are required to determine the origin and cause of a structure fires.</w:t>
            </w:r>
          </w:p>
          <w:p w:rsidR="00000000" w:rsidRPr="00CA629B" w:rsidP="00CA629B">
            <w:pPr>
              <w:pStyle w:val="BodyText"/>
            </w:pPr>
            <w:r w:rsidRPr="00CA629B">
              <w:t>The fire sector is those sectio</w:t>
            </w:r>
            <w:r w:rsidRPr="00CA629B">
              <w:t>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CA629B" w:rsidP="00CA629B">
            <w:pPr>
              <w:pStyle w:val="BodyText"/>
            </w:pPr>
            <w:r w:rsidRPr="00CA629B">
              <w:t xml:space="preserve">No licensing, legislative or certification requirements apply to </w:t>
            </w:r>
            <w:r w:rsidRPr="00CA629B">
              <w:t>this unit at the time of publication.</w:t>
            </w:r>
          </w:p>
        </w:tc>
      </w:tr>
    </w:tbl>
    <w:p w:rsidR="00000000" w:rsidRPr="00CA629B" w:rsidP="00CA629B">
      <w:pPr>
        <w:pStyle w:val="NoPaddingFontSize1"/>
      </w:pPr>
    </w:p>
    <w:p w:rsidR="00000000" w:rsidRPr="00CA629B" w:rsidP="00CA629B">
      <w:pPr>
        <w:pStyle w:val="AllowPageBreak"/>
      </w:pPr>
    </w:p>
    <w:p w:rsidR="00000000" w:rsidRPr="00CA629B" w:rsidP="00CA629B">
      <w:pPr>
        <w:pStyle w:val="Heading1"/>
      </w:pPr>
      <w:bookmarkStart w:id="3" w:name="O_1031003"/>
      <w:bookmarkEnd w:id="3"/>
      <w:r w:rsidRPr="00CA629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t>It is essential that the prerequisite units listed below are obtained prior to the issuance of this unit to individuals within the fire sector or the units contributing to the at</w:t>
            </w:r>
            <w:r w:rsidRPr="00CA629B">
              <w:t>tainment of a fire qualification.</w:t>
            </w:r>
          </w:p>
          <w:p w:rsidR="00000000" w:rsidRPr="00CA629B" w:rsidP="00CA629B">
            <w:pPr>
              <w:pStyle w:val="BodyText"/>
            </w:pPr>
            <w:r w:rsidRPr="00CA629B">
              <w:t xml:space="preserve">PUAFIR302 Suppress urban fire </w:t>
            </w:r>
          </w:p>
          <w:p w:rsidR="00000000" w:rsidRPr="00CA629B" w:rsidP="00CA629B">
            <w:pPr>
              <w:pStyle w:val="BodyText"/>
            </w:pPr>
            <w:r w:rsidRPr="00CA629B">
              <w:t xml:space="preserve">PUALAW001 Protect and preserve incident scene </w:t>
            </w:r>
          </w:p>
          <w:p w:rsidR="00000000" w:rsidRPr="00CA629B" w:rsidP="00CA629B">
            <w:pPr>
              <w:pStyle w:val="BodyText"/>
            </w:pPr>
            <w:r w:rsidRPr="00CA629B">
              <w:t xml:space="preserve">PUALAW002 Conduct initial investigation at incident scene </w:t>
            </w:r>
          </w:p>
        </w:tc>
      </w:tr>
    </w:tbl>
    <w:p w:rsidR="00000000" w:rsidRPr="00CA629B" w:rsidP="00CA629B">
      <w:pPr>
        <w:pStyle w:val="NoPaddingFontSize1"/>
      </w:pPr>
    </w:p>
    <w:p w:rsidR="00000000" w:rsidRPr="00CA629B" w:rsidP="00CA629B">
      <w:pPr>
        <w:pStyle w:val="AllowPageBreak"/>
      </w:pPr>
    </w:p>
    <w:p w:rsidR="00000000" w:rsidRPr="00CA629B" w:rsidP="00CA629B">
      <w:pPr>
        <w:pStyle w:val="Heading1"/>
      </w:pPr>
      <w:bookmarkStart w:id="4" w:name="O_1031004"/>
      <w:bookmarkEnd w:id="4"/>
      <w:r w:rsidRPr="00CA629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t>Fire</w:t>
            </w:r>
          </w:p>
        </w:tc>
      </w:tr>
    </w:tbl>
    <w:p w:rsidR="00000000" w:rsidRPr="00CA629B" w:rsidP="00CA629B">
      <w:pPr>
        <w:pStyle w:val="NoPaddingFontSize1"/>
      </w:pPr>
    </w:p>
    <w:p w:rsidR="00000000" w:rsidRPr="00CA629B" w:rsidP="00CA629B">
      <w:pPr>
        <w:pStyle w:val="AllowPageBreak"/>
      </w:pPr>
    </w:p>
    <w:p w:rsidR="00000000" w:rsidRPr="00CA629B" w:rsidP="00CA629B">
      <w:pPr>
        <w:pStyle w:val="Heading1"/>
      </w:pPr>
      <w:bookmarkStart w:id="5" w:name="O_1031005"/>
      <w:bookmarkEnd w:id="5"/>
      <w:r w:rsidRPr="00CA629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t>Fire</w:t>
            </w:r>
          </w:p>
        </w:tc>
      </w:tr>
    </w:tbl>
    <w:p w:rsidR="00000000" w:rsidRPr="00CA629B" w:rsidP="00CA629B">
      <w:pPr>
        <w:pStyle w:val="NoPaddingFontSize1"/>
      </w:pPr>
    </w:p>
    <w:p w:rsidR="00000000" w:rsidRPr="00CA629B" w:rsidP="00CA629B">
      <w:pPr>
        <w:pStyle w:val="AllowPageBreak"/>
      </w:pPr>
    </w:p>
    <w:p w:rsidR="00000000" w:rsidRPr="00CA629B" w:rsidP="00CA629B">
      <w:pPr>
        <w:pStyle w:val="Heading1"/>
      </w:pPr>
      <w:bookmarkStart w:id="6" w:name="O_1031006"/>
      <w:bookmarkEnd w:id="6"/>
      <w:r w:rsidRPr="00CA629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PERFORMANCE CRITERIA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Performance criteria describe the performance needed to demonstrate achievement of the element.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rPr>
                <w:rStyle w:val="SpecialBold"/>
              </w:rPr>
              <w:t>Coordinate structure fire investigation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Cooperation with a range of agencies/organisations personnel in the conduct of the investigation is consistent with organisational procedures and designated roles and responsibilities for a structure fire investi</w:t>
            </w:r>
            <w:r w:rsidRPr="00CA629B">
              <w:t xml:space="preserve">gation 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 xml:space="preserve">Information required by fire investigator from a range of agencies/organisations personnel is identified, sought and recorded 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Personal protective clothing and equipment is used, in accordance with organisational procedures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rPr>
                <w:rStyle w:val="SpecialBold"/>
              </w:rPr>
              <w:t>Secure fire scene and preserve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Legal obligations of fire scene investigators are adhered to throughout the investigation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Methods of scene security prior to examination are implemented, in accordance with organisational procedures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Procedures to monitor and log access to a fire scene are identified and applied, as required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Strategies for locating, collecting and processing evidence are implemented, in accordance with organisational procedures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Methods of preservation of evidence at a fire scene are implemented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Scene is protected from unnecessary damage, spoliation, destruction or contamination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rPr>
                <w:rStyle w:val="SpecialBold"/>
              </w:rPr>
              <w:t>Conduct scene investigation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 xml:space="preserve">Investigation activities are coordinated with Incident Controller, in accordance with organisational procedures, when active fire management activities are still occurring 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External and internal survey of scene is conducted to identify hazards and a</w:t>
            </w:r>
            <w:r w:rsidRPr="00CA629B">
              <w:t>ction is taken to mitigate risks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Scene is examined, externally and internally, to determine areas of interest and to record observations which may have a bearing on the origin, cause or development of a structure fire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Areas or items of evidence that have a potential bearing on the origin, cause or development of a structure fire are identified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Effects of building construction and other factors relevant to fire development and spread are identified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Nature a</w:t>
            </w:r>
            <w:r w:rsidRPr="00CA629B">
              <w:t>nd reactivity of materials involved in fire cause are identified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Site indicators of fire spread with other sources of evidence are examined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Witness information is obtained and recorded, in accordance with organisational procedures and rules of evidence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Burn patterns and effects of fire suppression are identified and assessed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Area or likely point of origin and possible cause of s</w:t>
            </w:r>
            <w:r w:rsidRPr="00CA629B">
              <w:t>tructure fire are determined, in accordance with organisational procedures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3.11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Origin and cause determination theories are assessed and tested, in accordance with organisational   procedures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rPr>
                <w:rStyle w:val="SpecialBold"/>
              </w:rPr>
              <w:t>Collect and analyse evidence from a fire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Appropriate sampling areas and items are identified using required sampling equipment and resources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Appropriate collection and packaging techniques are adopted, in accordance with organisational procedures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Potential for destruction, spoliatio</w:t>
            </w:r>
            <w:r w:rsidRPr="00CA629B">
              <w:t>n and contamination of evidence is eliminated, in accordance with organisational procedures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Integrity and continuity of collected exhibits is maintained, in accordance with organisational procedures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Evidence from fire scene is analysed and processed using a range of recording and digital multimedia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Fire origin and cause determination theories are developed and assessed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Witness accounts are reviewed against theories, in accordance with or</w:t>
            </w:r>
            <w:r w:rsidRPr="00CA629B">
              <w:t>ganisational procedures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 xml:space="preserve"> Fire origin and cause are determined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Findings are reported and documented, in accordance with organisational procedures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4.10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Evidence is secured for subsequent action, in accordance with organisational procedures</w:t>
            </w:r>
          </w:p>
        </w:tc>
      </w:tr>
      <w:tr w:rsidTr="00CA62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rPr>
                <w:rStyle w:val="SpecialBold"/>
              </w:rPr>
              <w:t>4.11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t>Investigation report is completed and forwarded to relevant authorities and stakeholders, in accordance with organisational procedures</w:t>
            </w:r>
          </w:p>
        </w:tc>
      </w:tr>
    </w:tbl>
    <w:p w:rsidR="00000000" w:rsidRPr="00CA629B" w:rsidP="00CA629B">
      <w:pPr>
        <w:pStyle w:val="NoPaddingFontSize1"/>
      </w:pPr>
    </w:p>
    <w:p w:rsidR="00000000" w:rsidRPr="00CA629B" w:rsidP="00CA629B">
      <w:pPr>
        <w:pStyle w:val="AllowPageBreak"/>
      </w:pPr>
    </w:p>
    <w:p w:rsidR="00000000" w:rsidRPr="00CA629B" w:rsidP="00CA629B">
      <w:pPr>
        <w:pStyle w:val="Heading1"/>
      </w:pPr>
      <w:bookmarkStart w:id="7" w:name="O_1031007"/>
      <w:bookmarkEnd w:id="7"/>
      <w:r w:rsidRPr="00CA629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t xml:space="preserve">Foundation skills essential to performance are explicit in the performance </w:t>
            </w:r>
            <w:r w:rsidRPr="00CA629B">
              <w:t>criteria of this unit of competency.</w:t>
            </w:r>
          </w:p>
        </w:tc>
      </w:tr>
    </w:tbl>
    <w:p w:rsidR="00000000" w:rsidRPr="00CA629B" w:rsidP="00CA629B">
      <w:pPr>
        <w:pStyle w:val="NoPaddingFontSize1"/>
      </w:pPr>
    </w:p>
    <w:p w:rsidR="00000000" w:rsidRPr="00CA629B" w:rsidP="00CA629B">
      <w:pPr>
        <w:pStyle w:val="AllowPageBreak"/>
      </w:pPr>
    </w:p>
    <w:p w:rsidR="00000000" w:rsidRPr="00CA629B" w:rsidP="00CA629B">
      <w:pPr>
        <w:pStyle w:val="Heading1"/>
      </w:pPr>
      <w:bookmarkStart w:id="8" w:name="O_1031008"/>
      <w:bookmarkEnd w:id="8"/>
      <w:r w:rsidRPr="00CA629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A6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t>Range is restricted to essential operating conditions and any other variables essential to the work environment.</w:t>
            </w:r>
          </w:p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Non-essential conditions may be found in the Companion Volume Implementation Guide.</w:t>
            </w:r>
          </w:p>
        </w:tc>
      </w:tr>
      <w:tr w:rsidTr="00CA6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9B">
            <w:pPr>
              <w:pStyle w:val="BodyText"/>
              <w:rPr>
                <w:lang w:val="en-NZ"/>
              </w:rPr>
            </w:pPr>
            <w:r w:rsidRPr="00CA629B">
              <w:t>origin and cause determination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ListBullet"/>
            </w:pPr>
            <w:r w:rsidRPr="00CA629B">
              <w:t>burn patterns - v/patterns, inverted v/patterns, hour glass and circular shaped patterns</w:t>
            </w:r>
          </w:p>
          <w:p w:rsidR="00000000" w:rsidRPr="00CA629B" w:rsidP="00CA629B">
            <w:pPr>
              <w:pStyle w:val="ListBullet"/>
            </w:pPr>
            <w:r w:rsidRPr="00CA629B">
              <w:t>identification of ignition sources</w:t>
            </w:r>
          </w:p>
          <w:p w:rsidR="00000000" w:rsidRPr="00CA629B" w:rsidP="00CA629B">
            <w:pPr>
              <w:pStyle w:val="ListBullet"/>
            </w:pPr>
            <w:r w:rsidRPr="00CA629B">
              <w:t>scene interpretation and processing</w:t>
            </w:r>
          </w:p>
        </w:tc>
      </w:tr>
    </w:tbl>
    <w:p w:rsidR="00000000" w:rsidRPr="00CA629B" w:rsidP="00CA629B">
      <w:pPr>
        <w:pStyle w:val="NoPaddingFontSize1"/>
      </w:pPr>
    </w:p>
    <w:p w:rsidR="00000000" w:rsidRPr="00CA629B" w:rsidP="00CA629B">
      <w:pPr>
        <w:pStyle w:val="AllowPageBreak"/>
      </w:pPr>
    </w:p>
    <w:p w:rsidR="00000000" w:rsidRPr="00CA629B" w:rsidP="00CA629B">
      <w:pPr>
        <w:pStyle w:val="Heading1"/>
      </w:pPr>
      <w:bookmarkStart w:id="9" w:name="O_1031009"/>
      <w:bookmarkEnd w:id="9"/>
      <w:r w:rsidRPr="00CA629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9B" w:rsidP="00CA629B">
            <w:pPr>
              <w:pStyle w:val="BodyText"/>
            </w:pPr>
            <w:r w:rsidRPr="00CA629B">
              <w:t>This unit replaces and is equivalent to PUAFIR604A Determine origin and cause of structure fire.</w:t>
            </w:r>
          </w:p>
        </w:tc>
      </w:tr>
    </w:tbl>
    <w:p w:rsidR="00000000" w:rsidRPr="00CA629B" w:rsidP="00CA629B">
      <w:pPr>
        <w:pStyle w:val="NoPaddingFontSize1"/>
      </w:pPr>
    </w:p>
    <w:p w:rsidR="00000000" w:rsidRPr="00CA629B" w:rsidP="00CA629B">
      <w:pPr>
        <w:pStyle w:val="AllowPageBreak"/>
      </w:pPr>
    </w:p>
    <w:p w:rsidR="00000000" w:rsidRPr="00CA629B" w:rsidP="00CA629B">
      <w:pPr>
        <w:pStyle w:val="Heading1"/>
      </w:pPr>
      <w:bookmarkStart w:id="10" w:name="O_1031016"/>
      <w:bookmarkEnd w:id="10"/>
      <w:r w:rsidRPr="00CA629B">
        <w:t>Links</w:t>
      </w:r>
    </w:p>
    <w:p w:rsidR="00000000" w:rsidRPr="00CA629B" w:rsidP="001D425A">
      <w:pPr>
        <w:pStyle w:val="BodyText"/>
      </w:pPr>
      <w:r w:rsidRPr="00CA629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445A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A629B" w:rsidP="00CA629B"/>
    <w:sectPr w:rsidSect="00CA62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9B" w:rsidRPr="001D425A" w:rsidP="001D42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25A" w:rsidP="00CA62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425A" w:rsidP="00CA62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425A" w:rsidP="00CA62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2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29B" w:rsidRPr="001D425A" w:rsidP="001D42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25A" w:rsidRPr="002D2AF8" w:rsidP="00CA62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PUAFIR604 Determine origin and cause of structure 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D425A" w:rsidP="00CA62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E6D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9C77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2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2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2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2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2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2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2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2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2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2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2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29B"/>
  </w:style>
  <w:style w:type="character" w:customStyle="1" w:styleId="Heading1Char">
    <w:name w:val="Heading 1 Char"/>
    <w:basedOn w:val="DefaultParagraphFont"/>
    <w:link w:val="Heading1"/>
    <w:rsid w:val="00CA62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2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2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2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629B"/>
    <w:rPr>
      <w:b/>
      <w:spacing w:val="0"/>
    </w:rPr>
  </w:style>
  <w:style w:type="paragraph" w:customStyle="1" w:styleId="SuperHeading">
    <w:name w:val="SuperHeading"/>
    <w:basedOn w:val="Normal"/>
    <w:rsid w:val="00CA62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2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62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2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2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2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2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2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2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2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2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2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2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2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2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2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2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2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2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2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2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62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62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2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2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2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2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2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2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2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2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629B"/>
    <w:rPr>
      <w:i/>
    </w:rPr>
  </w:style>
  <w:style w:type="paragraph" w:styleId="Caption">
    <w:name w:val="caption"/>
    <w:basedOn w:val="BodyText"/>
    <w:next w:val="Normal"/>
    <w:qFormat/>
    <w:rsid w:val="00CA62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2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2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29B"/>
  </w:style>
  <w:style w:type="paragraph" w:styleId="TableofFigures">
    <w:name w:val="table of figures"/>
    <w:basedOn w:val="Normal"/>
    <w:next w:val="Normal"/>
    <w:semiHidden/>
    <w:rsid w:val="00CA62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2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629B"/>
    <w:rPr>
      <w:rFonts w:ascii="Wingdings" w:hAnsi="Wingdings"/>
    </w:rPr>
  </w:style>
  <w:style w:type="paragraph" w:customStyle="1" w:styleId="TableHeading">
    <w:name w:val="Table Heading"/>
    <w:basedOn w:val="HeadingBase"/>
    <w:rsid w:val="00CA62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29B"/>
    <w:rPr>
      <w:color w:val="0033CC"/>
      <w:u w:val="none"/>
    </w:rPr>
  </w:style>
  <w:style w:type="paragraph" w:customStyle="1" w:styleId="BodyTextRight">
    <w:name w:val="Body Text Right"/>
    <w:basedOn w:val="BodyText"/>
    <w:rsid w:val="00CA62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2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2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2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2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2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29B"/>
    <w:rPr>
      <w:sz w:val="32"/>
    </w:rPr>
  </w:style>
  <w:style w:type="paragraph" w:customStyle="1" w:styleId="HeadingProcedure">
    <w:name w:val="Heading Procedure"/>
    <w:basedOn w:val="HeadingBase"/>
    <w:next w:val="Normal"/>
    <w:rsid w:val="00CA62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29B"/>
    <w:pPr>
      <w:spacing w:before="60" w:after="60"/>
    </w:pPr>
  </w:style>
  <w:style w:type="paragraph" w:styleId="ListContinue">
    <w:name w:val="List Continue"/>
    <w:basedOn w:val="List"/>
    <w:rsid w:val="00CA629B"/>
    <w:pPr>
      <w:ind w:firstLine="0"/>
    </w:pPr>
  </w:style>
  <w:style w:type="paragraph" w:customStyle="1" w:styleId="ListNote">
    <w:name w:val="List Note"/>
    <w:basedOn w:val="List"/>
    <w:rsid w:val="00CA62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2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2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29B"/>
    <w:rPr>
      <w:rFonts w:ascii="Courier New" w:hAnsi="Courier New"/>
    </w:rPr>
  </w:style>
  <w:style w:type="paragraph" w:customStyle="1" w:styleId="NoteBullet">
    <w:name w:val="Note Bullet"/>
    <w:basedOn w:val="Note"/>
    <w:rsid w:val="00CA62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2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2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2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2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62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2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29B"/>
    <w:rPr>
      <w:b/>
      <w:smallCaps/>
    </w:rPr>
  </w:style>
  <w:style w:type="paragraph" w:customStyle="1" w:styleId="TableListNumber">
    <w:name w:val="Table List Number"/>
    <w:basedOn w:val="ListNumber"/>
    <w:rsid w:val="00CA62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2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29B"/>
    <w:pPr>
      <w:numPr>
        <w:numId w:val="8"/>
      </w:numPr>
    </w:pPr>
  </w:style>
  <w:style w:type="paragraph" w:customStyle="1" w:styleId="ListAlpha2">
    <w:name w:val="List Alpha 2"/>
    <w:basedOn w:val="List2"/>
    <w:rsid w:val="00CA629B"/>
    <w:pPr>
      <w:numPr>
        <w:numId w:val="7"/>
      </w:numPr>
    </w:pPr>
  </w:style>
  <w:style w:type="paragraph" w:styleId="List2">
    <w:name w:val="List 2"/>
    <w:basedOn w:val="BodyText"/>
    <w:rsid w:val="00CA62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2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2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2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2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2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629B"/>
    <w:pPr>
      <w:numPr>
        <w:numId w:val="3"/>
      </w:numPr>
    </w:pPr>
  </w:style>
  <w:style w:type="paragraph" w:styleId="ListContinue2">
    <w:name w:val="List Continue 2"/>
    <w:basedOn w:val="List2"/>
    <w:rsid w:val="00CA629B"/>
    <w:pPr>
      <w:ind w:firstLine="0"/>
    </w:pPr>
  </w:style>
  <w:style w:type="paragraph" w:styleId="ListContinue3">
    <w:name w:val="List Continue 3"/>
    <w:basedOn w:val="List3"/>
    <w:rsid w:val="00CA629B"/>
    <w:pPr>
      <w:ind w:left="1021" w:firstLine="0"/>
    </w:pPr>
  </w:style>
  <w:style w:type="paragraph" w:styleId="ListContinue4">
    <w:name w:val="List Continue 4"/>
    <w:basedOn w:val="List4"/>
    <w:rsid w:val="00CA629B"/>
    <w:pPr>
      <w:ind w:firstLine="0"/>
    </w:pPr>
  </w:style>
  <w:style w:type="paragraph" w:styleId="ListContinue5">
    <w:name w:val="List Continue 5"/>
    <w:basedOn w:val="List5"/>
    <w:rsid w:val="00CA629B"/>
    <w:pPr>
      <w:ind w:firstLine="0"/>
    </w:pPr>
  </w:style>
  <w:style w:type="paragraph" w:styleId="ListNumber3">
    <w:name w:val="List Number 3"/>
    <w:basedOn w:val="List3"/>
    <w:rsid w:val="00CA629B"/>
    <w:pPr>
      <w:numPr>
        <w:numId w:val="4"/>
      </w:numPr>
    </w:pPr>
  </w:style>
  <w:style w:type="paragraph" w:styleId="ListNumber4">
    <w:name w:val="List Number 4"/>
    <w:basedOn w:val="List4"/>
    <w:rsid w:val="00CA629B"/>
    <w:pPr>
      <w:numPr>
        <w:numId w:val="5"/>
      </w:numPr>
    </w:pPr>
  </w:style>
  <w:style w:type="paragraph" w:styleId="ListNumber5">
    <w:name w:val="List Number 5"/>
    <w:basedOn w:val="List5"/>
    <w:rsid w:val="00CA629B"/>
    <w:pPr>
      <w:numPr>
        <w:numId w:val="6"/>
      </w:numPr>
    </w:pPr>
  </w:style>
  <w:style w:type="paragraph" w:styleId="BlockText">
    <w:name w:val="Block Text"/>
    <w:basedOn w:val="Normal"/>
    <w:rsid w:val="00CA62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2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29B"/>
    <w:rPr>
      <w:sz w:val="16"/>
      <w:vertAlign w:val="superscript"/>
    </w:rPr>
  </w:style>
  <w:style w:type="character" w:customStyle="1" w:styleId="Symbols">
    <w:name w:val="Symbols"/>
    <w:basedOn w:val="DefaultParagraphFont"/>
    <w:rsid w:val="00CA629B"/>
    <w:rPr>
      <w:rFonts w:ascii="Symbol" w:hAnsi="Symbol"/>
    </w:rPr>
  </w:style>
  <w:style w:type="character" w:customStyle="1" w:styleId="MenuOptions">
    <w:name w:val="Menu Options"/>
    <w:basedOn w:val="DefaultParagraphFont"/>
    <w:rsid w:val="00CA62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29B"/>
    <w:rPr>
      <w:b/>
    </w:rPr>
  </w:style>
  <w:style w:type="character" w:customStyle="1" w:styleId="Underlined">
    <w:name w:val="Underlined"/>
    <w:basedOn w:val="DefaultParagraphFont"/>
    <w:rsid w:val="00CA629B"/>
    <w:rPr>
      <w:u w:val="single"/>
    </w:rPr>
  </w:style>
  <w:style w:type="paragraph" w:customStyle="1" w:styleId="TableBodyTextRight">
    <w:name w:val="Table Body Text Right"/>
    <w:basedOn w:val="TableBodyText"/>
    <w:rsid w:val="00CA62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29B"/>
    <w:rPr>
      <w:sz w:val="18"/>
    </w:rPr>
  </w:style>
  <w:style w:type="paragraph" w:customStyle="1" w:styleId="BodySmallRight">
    <w:name w:val="Body Small Right"/>
    <w:basedOn w:val="BodyTextRight"/>
    <w:rsid w:val="00CA629B"/>
    <w:rPr>
      <w:sz w:val="18"/>
      <w:szCs w:val="18"/>
    </w:rPr>
  </w:style>
  <w:style w:type="paragraph" w:customStyle="1" w:styleId="MarginEdition">
    <w:name w:val="Margin Edition"/>
    <w:basedOn w:val="MarginNote"/>
    <w:rsid w:val="00CA62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29B"/>
    <w:rPr>
      <w:sz w:val="2"/>
      <w:szCs w:val="2"/>
    </w:rPr>
  </w:style>
  <w:style w:type="character" w:customStyle="1" w:styleId="Small">
    <w:name w:val="Small"/>
    <w:basedOn w:val="DefaultParagraphFont"/>
    <w:rsid w:val="00CA629B"/>
    <w:rPr>
      <w:sz w:val="16"/>
    </w:rPr>
  </w:style>
  <w:style w:type="paragraph" w:customStyle="1" w:styleId="WideTable">
    <w:name w:val="Wide Table"/>
    <w:basedOn w:val="Normal"/>
    <w:rsid w:val="00CA62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29B"/>
  </w:style>
  <w:style w:type="paragraph" w:styleId="Quote">
    <w:name w:val="Quote"/>
    <w:basedOn w:val="Heading1"/>
    <w:link w:val="QuoteChar"/>
    <w:qFormat/>
    <w:rsid w:val="00CA62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2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29B"/>
    <w:pPr>
      <w:pageBreakBefore/>
    </w:pPr>
  </w:style>
  <w:style w:type="paragraph" w:customStyle="1" w:styleId="Border">
    <w:name w:val="Border"/>
    <w:basedOn w:val="Normal"/>
    <w:qFormat/>
    <w:rsid w:val="00CA62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2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2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2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2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2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2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2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2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29B"/>
    <w:rPr>
      <w:u w:val="single"/>
    </w:rPr>
  </w:style>
  <w:style w:type="character" w:customStyle="1" w:styleId="BoldandItalics">
    <w:name w:val="Bold and Italics"/>
    <w:qFormat/>
    <w:rsid w:val="00CA629B"/>
    <w:rPr>
      <w:b/>
      <w:i/>
      <w:u w:val="none"/>
    </w:rPr>
  </w:style>
  <w:style w:type="paragraph" w:styleId="BalloonText">
    <w:name w:val="Balloon Text"/>
    <w:basedOn w:val="Normal"/>
    <w:link w:val="BalloonTextChar"/>
    <w:rsid w:val="00CA62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2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2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2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2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2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29B"/>
    <w:pPr>
      <w:spacing w:before="0" w:after="0"/>
    </w:pPr>
  </w:style>
  <w:style w:type="paragraph" w:customStyle="1" w:styleId="BodyTextBold">
    <w:name w:val="Body Text Bold"/>
    <w:basedOn w:val="BodyText"/>
    <w:qFormat/>
    <w:rsid w:val="00CA629B"/>
    <w:rPr>
      <w:b/>
    </w:rPr>
  </w:style>
  <w:style w:type="character" w:styleId="Hyperlink">
    <w:name w:val="Hyperlink"/>
    <w:basedOn w:val="DefaultParagraphFont"/>
    <w:uiPriority w:val="99"/>
    <w:unhideWhenUsed/>
    <w:rsid w:val="001D42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942</Words>
  <Characters>5825</Characters>
  <Application>Microsoft Office Word</Application>
  <DocSecurity>0</DocSecurity>
  <Lines>264</Lines>
  <Paragraphs>130</Paragraphs>
  <ScaleCrop>false</ScaleCrop>
  <Company>Author-it Software Corporation Ltd.</Company>
  <LinksUpToDate>false</LinksUpToDate>
  <CharactersWithSpaces>6637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PUAFIR604 Determine origin and cause of structure fire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2022-12-16T01:22:00Z</dcterms:created>
  <dcterms:modified xsi:type="dcterms:W3CDTF">2022-12-16T01:22:00Z</dcterms:modified>
</cp:coreProperties>
</file>