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4D5" w:rsidP="00095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PUAFIR603 Determine origin and cause of wildfire</w:t>
      </w:r>
      <w:r>
        <w:fldChar w:fldCharType="end"/>
      </w:r>
    </w:p>
    <w:p w:rsidR="000954D5" w:rsidP="000954D5">
      <w:pPr>
        <w:pStyle w:val="Version"/>
        <w:sectPr w:rsidSect="00AD79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92E" w:rsidP="00AD792E">
      <w:pPr>
        <w:pStyle w:val="SuperHeading"/>
      </w:pPr>
      <w:r w:rsidRPr="00AD792E">
        <w:t>PUAFIR603 Determine origin and cause of wildfire</w:t>
      </w:r>
    </w:p>
    <w:p w:rsidR="00000000" w:rsidRPr="00AD792E" w:rsidP="00AD792E">
      <w:pPr>
        <w:pStyle w:val="Heading1"/>
      </w:pPr>
      <w:bookmarkStart w:id="1" w:name="O_1030982"/>
      <w:bookmarkEnd w:id="1"/>
      <w:r w:rsidRPr="00AD792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9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rPr>
                <w:rStyle w:val="SpecialBold"/>
              </w:rPr>
              <w:t>Release 1.</w:t>
            </w:r>
            <w:r w:rsidRPr="00AD792E">
              <w:t xml:space="preserve"> This is the first release of this unit of competency in the PUA Public Safety Training Package.</w:t>
            </w:r>
          </w:p>
        </w:tc>
      </w:tr>
    </w:tbl>
    <w:p w:rsidR="00000000" w:rsidRPr="00AD792E" w:rsidP="00AD792E">
      <w:pPr>
        <w:pStyle w:val="NoPaddingFontSize1"/>
      </w:pPr>
    </w:p>
    <w:p w:rsidR="00000000" w:rsidRPr="00AD792E" w:rsidP="00AD792E">
      <w:pPr>
        <w:pStyle w:val="AllowPageBreak"/>
      </w:pPr>
    </w:p>
    <w:p w:rsidR="00000000" w:rsidRPr="00AD792E" w:rsidP="00AD792E">
      <w:pPr>
        <w:pStyle w:val="Heading1"/>
      </w:pPr>
      <w:bookmarkStart w:id="2" w:name="O_1030983"/>
      <w:bookmarkEnd w:id="2"/>
      <w:r w:rsidRPr="00AD792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9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t>This unit of competency involves the skills and knowledge required to undertake wildfi</w:t>
            </w:r>
            <w:r w:rsidRPr="00AD792E">
              <w:t>re scene examination and assessment to determine the path, origin and cause of a wildfire based on fire behaviour, weather conditions, topography and fuel load. It focuses on developing and applying a systematic approach to fire investigation in a wildfire</w:t>
            </w:r>
            <w:r w:rsidRPr="00AD792E">
              <w:t xml:space="preserve"> context and is applicable to wildfire fire investigators who are required to determine the origin and cause of a wildfire. </w:t>
            </w:r>
          </w:p>
          <w:p w:rsidR="00000000" w:rsidRPr="00AD792E" w:rsidP="00AD792E">
            <w:pPr>
              <w:pStyle w:val="BodyText"/>
            </w:pPr>
            <w:r w:rsidRPr="00AD792E">
              <w:t>It includes coordinating wildfire investigations, securing fire scenes and preserving evidence, identifying and recovering evidence</w:t>
            </w:r>
            <w:r w:rsidRPr="00AD792E">
              <w:t xml:space="preserve"> relevant to a wildfire investigation, packaging items of evidence for examination and conducting an analysis of evidence to identify the cause and origin of a wildfire.  </w:t>
            </w:r>
          </w:p>
          <w:p w:rsidR="00000000" w:rsidRPr="00AD792E" w:rsidP="00AD792E">
            <w:pPr>
              <w:pStyle w:val="BodyText"/>
            </w:pPr>
            <w:r w:rsidRPr="00AD792E">
              <w:t>The fire sector is those sections of government departments, statutory authorities o</w:t>
            </w:r>
            <w:r w:rsidRPr="00AD792E">
              <w:t>r organisations that have responsibility under jurisdictional arrangements for the delivery of firefighting and fire management services.</w:t>
            </w:r>
          </w:p>
          <w:p w:rsidR="00000000" w:rsidRPr="00AD792E" w:rsidP="00AD792E">
            <w:pPr>
              <w:pStyle w:val="BodyText"/>
            </w:pPr>
            <w:r w:rsidRPr="00AD792E">
              <w:t>No licensing, legislative or certification requirements apply to this unit at the time of publication.</w:t>
            </w:r>
          </w:p>
        </w:tc>
      </w:tr>
    </w:tbl>
    <w:p w:rsidR="00000000" w:rsidRPr="00AD792E" w:rsidP="00AD792E">
      <w:pPr>
        <w:pStyle w:val="NoPaddingFontSize1"/>
      </w:pPr>
    </w:p>
    <w:p w:rsidR="00000000" w:rsidRPr="00AD792E" w:rsidP="00AD792E">
      <w:pPr>
        <w:pStyle w:val="AllowPageBreak"/>
      </w:pPr>
    </w:p>
    <w:p w:rsidR="00000000" w:rsidRPr="00AD792E" w:rsidP="00AD792E">
      <w:pPr>
        <w:pStyle w:val="Heading1"/>
      </w:pPr>
      <w:bookmarkStart w:id="3" w:name="O_1030984"/>
      <w:bookmarkEnd w:id="3"/>
      <w:r w:rsidRPr="00AD792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9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AD792E" w:rsidP="00AD792E">
            <w:pPr>
              <w:pStyle w:val="BodyText"/>
            </w:pPr>
            <w:r w:rsidRPr="00AD792E">
              <w:t xml:space="preserve">PUAFIR303 Suppress </w:t>
            </w:r>
            <w:r w:rsidRPr="00AD792E">
              <w:t xml:space="preserve">wildfire </w:t>
            </w:r>
          </w:p>
          <w:p w:rsidR="00000000" w:rsidRPr="00AD792E" w:rsidP="00AD792E">
            <w:pPr>
              <w:pStyle w:val="BodyText"/>
            </w:pPr>
            <w:r w:rsidRPr="00AD792E">
              <w:t xml:space="preserve">PUALAW001 Protect and preserve incident scene </w:t>
            </w:r>
          </w:p>
          <w:p w:rsidR="00000000" w:rsidRPr="00AD792E" w:rsidP="00AD792E">
            <w:pPr>
              <w:pStyle w:val="BodyText"/>
            </w:pPr>
            <w:r w:rsidRPr="00AD792E">
              <w:t xml:space="preserve">PUALAW002 Conduct initial investigation at incident scene </w:t>
            </w:r>
          </w:p>
        </w:tc>
      </w:tr>
    </w:tbl>
    <w:p w:rsidR="00000000" w:rsidRPr="00AD792E" w:rsidP="00AD792E">
      <w:pPr>
        <w:pStyle w:val="NoPaddingFontSize1"/>
      </w:pPr>
    </w:p>
    <w:p w:rsidR="00000000" w:rsidRPr="00AD792E" w:rsidP="00AD792E">
      <w:pPr>
        <w:pStyle w:val="AllowPageBreak"/>
      </w:pPr>
    </w:p>
    <w:p w:rsidR="00000000" w:rsidRPr="00AD792E" w:rsidP="00AD792E">
      <w:pPr>
        <w:pStyle w:val="Heading1"/>
      </w:pPr>
      <w:bookmarkStart w:id="4" w:name="O_1030985"/>
      <w:bookmarkEnd w:id="4"/>
      <w:r w:rsidRPr="00AD792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9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t>Fire</w:t>
            </w:r>
          </w:p>
        </w:tc>
      </w:tr>
    </w:tbl>
    <w:p w:rsidR="00000000" w:rsidRPr="00AD792E" w:rsidP="00AD792E">
      <w:pPr>
        <w:pStyle w:val="NoPaddingFontSize1"/>
      </w:pPr>
    </w:p>
    <w:p w:rsidR="00000000" w:rsidRPr="00AD792E" w:rsidP="00AD792E">
      <w:pPr>
        <w:pStyle w:val="AllowPageBreak"/>
      </w:pPr>
    </w:p>
    <w:p w:rsidR="00000000" w:rsidRPr="00AD792E" w:rsidP="00AD792E">
      <w:pPr>
        <w:pStyle w:val="Heading1"/>
      </w:pPr>
      <w:bookmarkStart w:id="5" w:name="O_1030986"/>
      <w:bookmarkEnd w:id="5"/>
      <w:r w:rsidRPr="00AD792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9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t>Fire</w:t>
            </w:r>
          </w:p>
        </w:tc>
      </w:tr>
    </w:tbl>
    <w:p w:rsidR="00000000" w:rsidRPr="00AD792E" w:rsidP="00AD792E">
      <w:pPr>
        <w:pStyle w:val="NoPaddingFontSize1"/>
      </w:pPr>
    </w:p>
    <w:p w:rsidR="00000000" w:rsidRPr="00AD792E" w:rsidP="00AD792E">
      <w:pPr>
        <w:pStyle w:val="AllowPageBreak"/>
      </w:pPr>
    </w:p>
    <w:p w:rsidR="00000000" w:rsidRPr="00AD792E" w:rsidP="00AD792E">
      <w:pPr>
        <w:pStyle w:val="Heading1"/>
      </w:pPr>
      <w:bookmarkStart w:id="6" w:name="O_1030987"/>
      <w:bookmarkEnd w:id="6"/>
      <w:r w:rsidRPr="00AD792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PERFORMANCE CRITERIA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Performance criteria describe the performance needed to demonstrate achievement of the element.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rPr>
                <w:rStyle w:val="SpecialBold"/>
              </w:rPr>
              <w:t>Coordinate wildfire investigation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 xml:space="preserve">Roles and responsibilities of agencies or organisations and support personnel involved in the wildfire investigation are confirmed 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Cooperation of personnel from a range of agencies/organisations consistent with their designated roles and responsibi</w:t>
            </w:r>
            <w:r w:rsidRPr="00AD792E">
              <w:t>lities for a wildfire investigation is achieved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Information required by fire investigator from personnel from other agencies or organisations is identified, sought and received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Activities of personnel involved in the wildfire investigation are coordinated, in accordance with organisational procedures, to enable an efficient and effective investigation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Personal protective clothing and equipment is used, in accordance with o</w:t>
            </w:r>
            <w:r w:rsidRPr="00AD792E">
              <w:t>rganisational procedures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Work, Health and Safety (WHS)/Occupational Health and Safety (OHS) procedures appropriate to the wildfire incident are followed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rPr>
                <w:rStyle w:val="SpecialBold"/>
              </w:rPr>
              <w:t>Secure fire scene and preserve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Legal obligations of fire investigators are adhered to throughout the investigation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Methods of scene security prior to examination are implemented, in accordance with organisational procedures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Procedures to monitor and log access to a wildfir</w:t>
            </w:r>
            <w:r w:rsidRPr="00AD792E">
              <w:t>e scene are identified and applied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Strategies for locating, collecting and evidence are implemented, in accordance with organisational procedures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Methods of preservation of evidence at a wildfire scene are implemented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Scene is protected from unnecessary damage, destruction or contamination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rPr>
                <w:rStyle w:val="SpecialBold"/>
              </w:rPr>
              <w:t>Conduct scene investigation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Investigation activities are coordinated with Incident Controller, in accordance with organisational procedures, when active fire management operati</w:t>
            </w:r>
            <w:r w:rsidRPr="00AD792E">
              <w:t>ons are still occurring in relation to the incident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Fire incident information, data and records are collected and assessed, in accordance with organisational procedures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 xml:space="preserve">Witness information is obtained 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Survey of scene is conducted to identify hazards and to preserve areas or items of evidential value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Effect of fuels, weather and topography on wildfire development and spread are identified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Effects of firefighting actions on fire scene and in</w:t>
            </w:r>
            <w:r w:rsidRPr="00AD792E">
              <w:t>vestigation are assessed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Fire scene is reviewed, in accordance with organisational procedures, to determine areas of interest and to record observation of factors which may have a bearing on the determination of the origin and cause or development o</w:t>
            </w:r>
            <w:r w:rsidRPr="00AD792E">
              <w:t>f wildfire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Physical indicators related to path of fire or development of wildfire are identified, assessed and recorded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Indicators of damage or destruction of assets caused by wildfire are identified, in accordance wi</w:t>
            </w:r>
            <w:r w:rsidRPr="00AD792E">
              <w:t>th organisational procedures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Cause of fire, based on recognised cause categories, is determined by wildfire investigation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rPr>
                <w:rStyle w:val="SpecialBold"/>
              </w:rPr>
              <w:t>Identify and collect evidence to investigate a wildfire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Control, comparison and residual samples are identified and ext</w:t>
            </w:r>
            <w:r w:rsidRPr="00AD792E">
              <w:t>racted, in accordance with organisational procedures requirements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Samples are protected to avoid contamination and to ensure continuity of evidence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Samples are recorded, collected, packaged and secured, in accordance with organisational continuity of evidence protocols and procedures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Procedures for capturing fire scene records are implemented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Forensic and physical evidence is interpreted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Organisational and legal reports are completed, in accordance with organisational procedures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rPr>
                <w:rStyle w:val="SpecialBold"/>
              </w:rPr>
              <w:t>Analyse information to determine origin and cause of 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Collected information and evidence is analysed and interpreted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Fire origin and cause determination theories are developed and assessed using organisationally approved scientific methods, in accordance with organisational procedures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Findings are reported and documented, in accordance with organisational procedur</w:t>
            </w:r>
            <w:r w:rsidRPr="00AD792E">
              <w:t>es and policies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Evidence is secured for subsequent action, in accordance with organisational procedures</w:t>
            </w:r>
          </w:p>
        </w:tc>
      </w:tr>
      <w:tr w:rsidTr="00AD792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t>Wildfire investigation report is completed and forwarded to relevant authorities and stakeholders</w:t>
            </w:r>
          </w:p>
        </w:tc>
      </w:tr>
    </w:tbl>
    <w:p w:rsidR="00000000" w:rsidRPr="00AD792E" w:rsidP="00AD792E">
      <w:pPr>
        <w:pStyle w:val="NoPaddingFontSize1"/>
      </w:pPr>
    </w:p>
    <w:p w:rsidR="00000000" w:rsidRPr="00AD792E" w:rsidP="00AD792E">
      <w:pPr>
        <w:pStyle w:val="AllowPageBreak"/>
      </w:pPr>
    </w:p>
    <w:p w:rsidR="00000000" w:rsidRPr="00AD792E" w:rsidP="00AD792E">
      <w:pPr>
        <w:pStyle w:val="Heading1"/>
      </w:pPr>
      <w:bookmarkStart w:id="7" w:name="O_1030988"/>
      <w:bookmarkEnd w:id="7"/>
      <w:r w:rsidRPr="00AD792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9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t>Foundation skills essential to performance are explicit in the performance criteria of this unit of competency.</w:t>
            </w:r>
          </w:p>
        </w:tc>
      </w:tr>
    </w:tbl>
    <w:p w:rsidR="00000000" w:rsidRPr="00AD792E" w:rsidP="00AD792E">
      <w:pPr>
        <w:pStyle w:val="NoPaddingFontSize1"/>
      </w:pPr>
    </w:p>
    <w:p w:rsidR="00000000" w:rsidRPr="00AD792E" w:rsidP="00AD792E">
      <w:pPr>
        <w:pStyle w:val="AllowPageBreak"/>
      </w:pPr>
    </w:p>
    <w:p w:rsidR="00000000" w:rsidRPr="00AD792E" w:rsidP="00AD792E">
      <w:pPr>
        <w:pStyle w:val="Heading1"/>
      </w:pPr>
      <w:bookmarkStart w:id="8" w:name="O_1030989"/>
      <w:bookmarkEnd w:id="8"/>
      <w:r w:rsidRPr="00AD792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AD79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t>Range is restricted to essential operating conditions and any other variables essential to the work env</w:t>
            </w:r>
            <w:r w:rsidRPr="00AD792E">
              <w:t>ironment.</w:t>
            </w:r>
          </w:p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Non-essential conditions may be found in the Companion Volume Implementation Guide.</w:t>
            </w:r>
          </w:p>
        </w:tc>
      </w:tr>
      <w:tr w:rsidTr="00AD79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92E">
            <w:pPr>
              <w:pStyle w:val="BodyText"/>
              <w:rPr>
                <w:lang w:val="en-NZ"/>
              </w:rPr>
            </w:pPr>
            <w:r w:rsidRPr="00AD792E">
              <w:t>origin and cause determination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ListBullet"/>
            </w:pPr>
            <w:r w:rsidRPr="00AD792E">
              <w:t>burn indicators</w:t>
            </w:r>
          </w:p>
          <w:p w:rsidR="00000000" w:rsidRPr="00AD792E" w:rsidP="00AD792E">
            <w:pPr>
              <w:pStyle w:val="ListBullet2"/>
            </w:pPr>
            <w:r w:rsidRPr="00AD792E">
              <w:t>advancing or head fire</w:t>
            </w:r>
          </w:p>
          <w:p w:rsidR="00000000" w:rsidRPr="00AD792E" w:rsidP="00AD792E">
            <w:pPr>
              <w:pStyle w:val="ListBullet2"/>
            </w:pPr>
            <w:r w:rsidRPr="00AD792E">
              <w:t>backing or heel fire</w:t>
            </w:r>
          </w:p>
          <w:p w:rsidR="00000000" w:rsidRPr="00AD792E" w:rsidP="00AD792E">
            <w:pPr>
              <w:pStyle w:val="ListBullet2"/>
            </w:pPr>
            <w:r w:rsidRPr="00AD792E">
              <w:t>lateral or flanking fire</w:t>
            </w:r>
          </w:p>
          <w:p w:rsidR="00000000" w:rsidRPr="00AD792E" w:rsidP="00AD792E">
            <w:pPr>
              <w:pStyle w:val="ListBullet"/>
            </w:pPr>
            <w:r w:rsidRPr="00AD792E">
              <w:t>angle and depth of char indicators</w:t>
            </w:r>
          </w:p>
          <w:p w:rsidR="00000000" w:rsidRPr="00AD792E" w:rsidP="00AD792E">
            <w:pPr>
              <w:pStyle w:val="ListBullet"/>
            </w:pPr>
            <w:r w:rsidRPr="00AD792E">
              <w:t>ash, cupping and curling indicators</w:t>
            </w:r>
          </w:p>
          <w:p w:rsidR="00000000" w:rsidRPr="00AD792E" w:rsidP="00AD792E">
            <w:pPr>
              <w:pStyle w:val="ListBullet"/>
            </w:pPr>
            <w:r w:rsidRPr="00AD792E">
              <w:t>damage differential indicators</w:t>
            </w:r>
          </w:p>
          <w:p w:rsidR="00000000" w:rsidRPr="00AD792E" w:rsidP="00AD792E">
            <w:pPr>
              <w:pStyle w:val="ListBullet"/>
            </w:pPr>
            <w:r w:rsidRPr="00AD792E">
              <w:t>die out pattern indicators</w:t>
            </w:r>
          </w:p>
          <w:p w:rsidR="00000000" w:rsidRPr="00AD792E" w:rsidP="00AD792E">
            <w:pPr>
              <w:pStyle w:val="ListBullet"/>
            </w:pPr>
            <w:r w:rsidRPr="00AD792E">
              <w:t>foliage or leaf freeze indicators</w:t>
            </w:r>
          </w:p>
          <w:p w:rsidR="00000000" w:rsidRPr="00AD792E" w:rsidP="00AD792E">
            <w:pPr>
              <w:pStyle w:val="ListBullet"/>
            </w:pPr>
            <w:r w:rsidRPr="00AD792E">
              <w:t>grass stem indicators</w:t>
            </w:r>
          </w:p>
          <w:p w:rsidR="00000000" w:rsidRPr="00AD792E" w:rsidP="00AD792E">
            <w:pPr>
              <w:pStyle w:val="ListBullet"/>
            </w:pPr>
            <w:r w:rsidRPr="00AD792E">
              <w:t>identification of ignition sources</w:t>
            </w:r>
          </w:p>
          <w:p w:rsidR="00000000" w:rsidRPr="00AD792E" w:rsidP="00AD792E">
            <w:pPr>
              <w:pStyle w:val="ListBullet"/>
            </w:pPr>
            <w:r w:rsidRPr="00AD792E">
              <w:t>protection indicators</w:t>
            </w:r>
          </w:p>
          <w:p w:rsidR="00000000" w:rsidRPr="00AD792E" w:rsidP="00AD792E">
            <w:pPr>
              <w:pStyle w:val="ListBullet"/>
            </w:pPr>
            <w:r w:rsidRPr="00AD792E">
              <w:t>scene observation, interpretation and processing</w:t>
            </w:r>
          </w:p>
          <w:p w:rsidR="00000000" w:rsidRPr="00AD792E" w:rsidP="00AD792E">
            <w:pPr>
              <w:pStyle w:val="ListBullet"/>
            </w:pPr>
            <w:r w:rsidRPr="00AD792E">
              <w:t>sooting and staining indicators</w:t>
            </w:r>
          </w:p>
          <w:p w:rsidR="00000000" w:rsidRPr="00AD792E" w:rsidP="00AD792E">
            <w:pPr>
              <w:pStyle w:val="ListBullet"/>
            </w:pPr>
            <w:r w:rsidRPr="00AD792E">
              <w:t>transition zone</w:t>
            </w:r>
          </w:p>
          <w:p w:rsidR="00000000" w:rsidRPr="00AD792E" w:rsidP="00AD792E">
            <w:pPr>
              <w:pStyle w:val="ListBullet"/>
            </w:pPr>
            <w:r w:rsidRPr="00AD792E">
              <w:t>v-pattern indicators</w:t>
            </w:r>
          </w:p>
          <w:p w:rsidR="00000000" w:rsidRPr="00AD792E" w:rsidP="00AD792E">
            <w:pPr>
              <w:pStyle w:val="ListBullet"/>
            </w:pPr>
            <w:r w:rsidRPr="00AD792E">
              <w:t>wildfire behaviour including weather, fuel load and topography</w:t>
            </w:r>
          </w:p>
          <w:p w:rsidR="00000000" w:rsidRPr="00AD792E" w:rsidP="00AD792E">
            <w:pPr>
              <w:pStyle w:val="ListBullet"/>
            </w:pPr>
            <w:r w:rsidRPr="00AD792E">
              <w:t>wildfire spread</w:t>
            </w:r>
          </w:p>
        </w:tc>
      </w:tr>
    </w:tbl>
    <w:p w:rsidR="00000000" w:rsidRPr="00AD792E" w:rsidP="00AD792E">
      <w:pPr>
        <w:pStyle w:val="NoPaddingFontSize1"/>
      </w:pPr>
    </w:p>
    <w:p w:rsidR="00000000" w:rsidRPr="00AD792E" w:rsidP="00AD792E">
      <w:pPr>
        <w:pStyle w:val="AllowPageBreak"/>
      </w:pPr>
    </w:p>
    <w:p w:rsidR="00000000" w:rsidRPr="00AD792E" w:rsidP="00AD792E">
      <w:pPr>
        <w:pStyle w:val="Heading1"/>
      </w:pPr>
      <w:bookmarkStart w:id="9" w:name="O_1030990"/>
      <w:bookmarkEnd w:id="9"/>
      <w:r w:rsidRPr="00AD792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792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92E" w:rsidP="00AD792E">
            <w:pPr>
              <w:pStyle w:val="BodyText"/>
            </w:pPr>
            <w:r w:rsidRPr="00AD792E">
              <w:t>This unit replaces and is equivalent to PUAFIR603A Determine origin and cause of wildfire.</w:t>
            </w:r>
          </w:p>
        </w:tc>
      </w:tr>
    </w:tbl>
    <w:p w:rsidR="00000000" w:rsidRPr="00AD792E" w:rsidP="00AD792E">
      <w:pPr>
        <w:pStyle w:val="NoPaddingFontSize1"/>
      </w:pPr>
    </w:p>
    <w:p w:rsidR="00000000" w:rsidRPr="00AD792E" w:rsidP="00AD792E">
      <w:pPr>
        <w:pStyle w:val="AllowPageBreak"/>
      </w:pPr>
    </w:p>
    <w:p w:rsidR="00000000" w:rsidRPr="00AD792E" w:rsidP="00AD792E">
      <w:pPr>
        <w:pStyle w:val="Heading1"/>
      </w:pPr>
      <w:bookmarkStart w:id="10" w:name="O_1030997"/>
      <w:bookmarkEnd w:id="10"/>
      <w:r w:rsidRPr="00AD792E">
        <w:t>Links</w:t>
      </w:r>
    </w:p>
    <w:p w:rsidR="00000000" w:rsidRPr="00AD792E" w:rsidP="000954D5">
      <w:pPr>
        <w:pStyle w:val="BodyText"/>
      </w:pPr>
      <w:r w:rsidRPr="00AD792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436D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D792E" w:rsidP="00AD792E"/>
    <w:sectPr w:rsidSect="00AD79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2E" w:rsidRPr="000954D5" w:rsidP="00095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D5" w:rsidP="00AD79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4D5" w:rsidP="00AD79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954D5" w:rsidP="00AD79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92E" w:rsidRPr="000954D5" w:rsidP="00095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4D5" w:rsidRPr="002D2AF8" w:rsidP="00AD79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PUAFIR603 Determine origin and cause of wildfire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954D5" w:rsidP="00AD79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4AFC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74B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30B4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9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9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9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9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9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9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9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9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9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9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9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92E"/>
  </w:style>
  <w:style w:type="character" w:customStyle="1" w:styleId="Heading1Char">
    <w:name w:val="Heading 1 Char"/>
    <w:basedOn w:val="DefaultParagraphFont"/>
    <w:link w:val="Heading1"/>
    <w:rsid w:val="00AD79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9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9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9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792E"/>
    <w:rPr>
      <w:b/>
      <w:spacing w:val="0"/>
    </w:rPr>
  </w:style>
  <w:style w:type="paragraph" w:styleId="ListBullet2">
    <w:name w:val="List Bullet 2"/>
    <w:basedOn w:val="List2"/>
    <w:rsid w:val="00AD79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79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9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79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9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9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9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9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9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9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9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9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9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9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9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9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9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9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9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79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9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9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79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9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9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9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9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9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9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9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9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792E"/>
    <w:rPr>
      <w:i/>
    </w:rPr>
  </w:style>
  <w:style w:type="paragraph" w:styleId="Caption">
    <w:name w:val="caption"/>
    <w:basedOn w:val="BodyText"/>
    <w:next w:val="Normal"/>
    <w:qFormat/>
    <w:rsid w:val="00AD79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9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9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92E"/>
  </w:style>
  <w:style w:type="paragraph" w:styleId="TableofFigures">
    <w:name w:val="table of figures"/>
    <w:basedOn w:val="Normal"/>
    <w:next w:val="Normal"/>
    <w:semiHidden/>
    <w:rsid w:val="00AD79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9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792E"/>
    <w:rPr>
      <w:rFonts w:ascii="Wingdings" w:hAnsi="Wingdings"/>
    </w:rPr>
  </w:style>
  <w:style w:type="paragraph" w:customStyle="1" w:styleId="TableHeading">
    <w:name w:val="Table Heading"/>
    <w:basedOn w:val="HeadingBase"/>
    <w:rsid w:val="00AD79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92E"/>
    <w:rPr>
      <w:color w:val="0033CC"/>
      <w:u w:val="none"/>
    </w:rPr>
  </w:style>
  <w:style w:type="paragraph" w:customStyle="1" w:styleId="BodyTextRight">
    <w:name w:val="Body Text Right"/>
    <w:basedOn w:val="BodyText"/>
    <w:rsid w:val="00AD79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9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9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9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9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9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92E"/>
    <w:rPr>
      <w:sz w:val="32"/>
    </w:rPr>
  </w:style>
  <w:style w:type="paragraph" w:customStyle="1" w:styleId="HeadingProcedure">
    <w:name w:val="Heading Procedure"/>
    <w:basedOn w:val="HeadingBase"/>
    <w:next w:val="Normal"/>
    <w:rsid w:val="00AD79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92E"/>
    <w:pPr>
      <w:spacing w:before="60" w:after="60"/>
    </w:pPr>
  </w:style>
  <w:style w:type="paragraph" w:styleId="ListContinue">
    <w:name w:val="List Continue"/>
    <w:basedOn w:val="List"/>
    <w:rsid w:val="00AD792E"/>
    <w:pPr>
      <w:ind w:firstLine="0"/>
    </w:pPr>
  </w:style>
  <w:style w:type="paragraph" w:customStyle="1" w:styleId="ListNote">
    <w:name w:val="List Note"/>
    <w:basedOn w:val="List"/>
    <w:rsid w:val="00AD79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9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9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92E"/>
    <w:rPr>
      <w:rFonts w:ascii="Courier New" w:hAnsi="Courier New"/>
    </w:rPr>
  </w:style>
  <w:style w:type="paragraph" w:customStyle="1" w:styleId="NoteBullet">
    <w:name w:val="Note Bullet"/>
    <w:basedOn w:val="Note"/>
    <w:rsid w:val="00AD79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9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9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9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9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79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9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92E"/>
    <w:rPr>
      <w:b/>
      <w:smallCaps/>
    </w:rPr>
  </w:style>
  <w:style w:type="paragraph" w:customStyle="1" w:styleId="TableListNumber">
    <w:name w:val="Table List Number"/>
    <w:basedOn w:val="ListNumber"/>
    <w:rsid w:val="00AD79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9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92E"/>
    <w:pPr>
      <w:numPr>
        <w:numId w:val="9"/>
      </w:numPr>
    </w:pPr>
  </w:style>
  <w:style w:type="paragraph" w:customStyle="1" w:styleId="ListAlpha2">
    <w:name w:val="List Alpha 2"/>
    <w:basedOn w:val="List2"/>
    <w:rsid w:val="00AD792E"/>
    <w:pPr>
      <w:numPr>
        <w:numId w:val="8"/>
      </w:numPr>
    </w:pPr>
  </w:style>
  <w:style w:type="paragraph" w:styleId="List2">
    <w:name w:val="List 2"/>
    <w:basedOn w:val="BodyText"/>
    <w:rsid w:val="00AD79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9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9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9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9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9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792E"/>
    <w:pPr>
      <w:numPr>
        <w:numId w:val="4"/>
      </w:numPr>
    </w:pPr>
  </w:style>
  <w:style w:type="paragraph" w:styleId="ListContinue2">
    <w:name w:val="List Continue 2"/>
    <w:basedOn w:val="List2"/>
    <w:rsid w:val="00AD792E"/>
    <w:pPr>
      <w:ind w:firstLine="0"/>
    </w:pPr>
  </w:style>
  <w:style w:type="paragraph" w:styleId="ListContinue3">
    <w:name w:val="List Continue 3"/>
    <w:basedOn w:val="List3"/>
    <w:rsid w:val="00AD792E"/>
    <w:pPr>
      <w:ind w:left="1021" w:firstLine="0"/>
    </w:pPr>
  </w:style>
  <w:style w:type="paragraph" w:styleId="ListContinue4">
    <w:name w:val="List Continue 4"/>
    <w:basedOn w:val="List4"/>
    <w:rsid w:val="00AD792E"/>
    <w:pPr>
      <w:ind w:firstLine="0"/>
    </w:pPr>
  </w:style>
  <w:style w:type="paragraph" w:styleId="ListContinue5">
    <w:name w:val="List Continue 5"/>
    <w:basedOn w:val="List5"/>
    <w:rsid w:val="00AD792E"/>
    <w:pPr>
      <w:ind w:firstLine="0"/>
    </w:pPr>
  </w:style>
  <w:style w:type="paragraph" w:styleId="ListNumber3">
    <w:name w:val="List Number 3"/>
    <w:basedOn w:val="List3"/>
    <w:rsid w:val="00AD792E"/>
    <w:pPr>
      <w:numPr>
        <w:numId w:val="5"/>
      </w:numPr>
    </w:pPr>
  </w:style>
  <w:style w:type="paragraph" w:styleId="ListNumber4">
    <w:name w:val="List Number 4"/>
    <w:basedOn w:val="List4"/>
    <w:rsid w:val="00AD792E"/>
    <w:pPr>
      <w:numPr>
        <w:numId w:val="6"/>
      </w:numPr>
    </w:pPr>
  </w:style>
  <w:style w:type="paragraph" w:styleId="ListNumber5">
    <w:name w:val="List Number 5"/>
    <w:basedOn w:val="List5"/>
    <w:rsid w:val="00AD792E"/>
    <w:pPr>
      <w:numPr>
        <w:numId w:val="7"/>
      </w:numPr>
    </w:pPr>
  </w:style>
  <w:style w:type="paragraph" w:styleId="BlockText">
    <w:name w:val="Block Text"/>
    <w:basedOn w:val="Normal"/>
    <w:rsid w:val="00AD79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9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92E"/>
    <w:rPr>
      <w:sz w:val="16"/>
      <w:vertAlign w:val="superscript"/>
    </w:rPr>
  </w:style>
  <w:style w:type="character" w:customStyle="1" w:styleId="Symbols">
    <w:name w:val="Symbols"/>
    <w:basedOn w:val="DefaultParagraphFont"/>
    <w:rsid w:val="00AD792E"/>
    <w:rPr>
      <w:rFonts w:ascii="Symbol" w:hAnsi="Symbol"/>
    </w:rPr>
  </w:style>
  <w:style w:type="character" w:customStyle="1" w:styleId="MenuOptions">
    <w:name w:val="Menu Options"/>
    <w:basedOn w:val="DefaultParagraphFont"/>
    <w:rsid w:val="00AD79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92E"/>
    <w:rPr>
      <w:b/>
    </w:rPr>
  </w:style>
  <w:style w:type="character" w:customStyle="1" w:styleId="Underlined">
    <w:name w:val="Underlined"/>
    <w:basedOn w:val="DefaultParagraphFont"/>
    <w:rsid w:val="00AD792E"/>
    <w:rPr>
      <w:u w:val="single"/>
    </w:rPr>
  </w:style>
  <w:style w:type="paragraph" w:customStyle="1" w:styleId="TableBodyTextRight">
    <w:name w:val="Table Body Text Right"/>
    <w:basedOn w:val="TableBodyText"/>
    <w:rsid w:val="00AD79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92E"/>
    <w:rPr>
      <w:sz w:val="18"/>
    </w:rPr>
  </w:style>
  <w:style w:type="paragraph" w:customStyle="1" w:styleId="BodySmallRight">
    <w:name w:val="Body Small Right"/>
    <w:basedOn w:val="BodyTextRight"/>
    <w:rsid w:val="00AD792E"/>
    <w:rPr>
      <w:sz w:val="18"/>
      <w:szCs w:val="18"/>
    </w:rPr>
  </w:style>
  <w:style w:type="paragraph" w:customStyle="1" w:styleId="MarginEdition">
    <w:name w:val="Margin Edition"/>
    <w:basedOn w:val="MarginNote"/>
    <w:rsid w:val="00AD79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92E"/>
    <w:rPr>
      <w:sz w:val="2"/>
      <w:szCs w:val="2"/>
    </w:rPr>
  </w:style>
  <w:style w:type="character" w:customStyle="1" w:styleId="Small">
    <w:name w:val="Small"/>
    <w:basedOn w:val="DefaultParagraphFont"/>
    <w:rsid w:val="00AD792E"/>
    <w:rPr>
      <w:sz w:val="16"/>
    </w:rPr>
  </w:style>
  <w:style w:type="paragraph" w:customStyle="1" w:styleId="WideTable">
    <w:name w:val="Wide Table"/>
    <w:basedOn w:val="Normal"/>
    <w:rsid w:val="00AD79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92E"/>
  </w:style>
  <w:style w:type="paragraph" w:styleId="Quote">
    <w:name w:val="Quote"/>
    <w:basedOn w:val="Heading1"/>
    <w:link w:val="QuoteChar"/>
    <w:qFormat/>
    <w:rsid w:val="00AD79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9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92E"/>
    <w:pPr>
      <w:pageBreakBefore/>
    </w:pPr>
  </w:style>
  <w:style w:type="paragraph" w:customStyle="1" w:styleId="Border">
    <w:name w:val="Border"/>
    <w:basedOn w:val="Normal"/>
    <w:qFormat/>
    <w:rsid w:val="00AD79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9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9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9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9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9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9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9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9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92E"/>
    <w:rPr>
      <w:u w:val="single"/>
    </w:rPr>
  </w:style>
  <w:style w:type="character" w:customStyle="1" w:styleId="BoldandItalics">
    <w:name w:val="Bold and Italics"/>
    <w:qFormat/>
    <w:rsid w:val="00AD792E"/>
    <w:rPr>
      <w:b/>
      <w:i/>
      <w:u w:val="none"/>
    </w:rPr>
  </w:style>
  <w:style w:type="paragraph" w:styleId="BalloonText">
    <w:name w:val="Balloon Text"/>
    <w:basedOn w:val="Normal"/>
    <w:link w:val="BalloonTextChar"/>
    <w:rsid w:val="00AD79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9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9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9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9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9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92E"/>
    <w:pPr>
      <w:spacing w:before="0" w:after="0"/>
    </w:pPr>
  </w:style>
  <w:style w:type="paragraph" w:customStyle="1" w:styleId="BodyTextBold">
    <w:name w:val="Body Text Bold"/>
    <w:basedOn w:val="BodyText"/>
    <w:qFormat/>
    <w:rsid w:val="00AD792E"/>
    <w:rPr>
      <w:b/>
    </w:rPr>
  </w:style>
  <w:style w:type="character" w:styleId="Hyperlink">
    <w:name w:val="Hyperlink"/>
    <w:basedOn w:val="DefaultParagraphFont"/>
    <w:uiPriority w:val="99"/>
    <w:unhideWhenUsed/>
    <w:rsid w:val="00095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1015</Words>
  <Characters>6389</Characters>
  <Application>Microsoft Office Word</Application>
  <DocSecurity>0</DocSecurity>
  <Lines>304</Lines>
  <Paragraphs>151</Paragraphs>
  <ScaleCrop>false</ScaleCrop>
  <Company>Author-it Software Corporation Ltd.</Company>
  <LinksUpToDate>false</LinksUpToDate>
  <CharactersWithSpaces>7253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PUAFIR603 Determine origin and cause of wildfire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2022-12-16T03:22:00Z</dcterms:created>
  <dcterms:modified xsi:type="dcterms:W3CDTF">2022-12-16T03:22:00Z</dcterms:modified>
</cp:coreProperties>
</file>