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32C" w:rsidP="00940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PUAFIR306 Identify, detect and monitor hazardous materials at an incident</w:t>
      </w:r>
      <w:r>
        <w:fldChar w:fldCharType="end"/>
      </w:r>
    </w:p>
    <w:p w:rsidR="0094032C" w:rsidP="0094032C">
      <w:pPr>
        <w:pStyle w:val="Version"/>
        <w:sectPr w:rsidSect="002627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7C0" w:rsidP="002627C0">
      <w:pPr>
        <w:pStyle w:val="SuperHeading"/>
      </w:pPr>
      <w:r w:rsidRPr="002627C0">
        <w:t>PUAFIR306 Identify, detect and monitor hazardous materials at an incident</w:t>
      </w:r>
    </w:p>
    <w:p w:rsidR="00000000" w:rsidRPr="002627C0" w:rsidP="002627C0">
      <w:pPr>
        <w:pStyle w:val="Heading1"/>
      </w:pPr>
      <w:bookmarkStart w:id="1" w:name="O_1030165"/>
      <w:bookmarkEnd w:id="1"/>
      <w:r w:rsidRPr="002627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Release 1.</w:t>
            </w:r>
            <w:r w:rsidRPr="002627C0">
              <w:t xml:space="preserve"> This is the first release of this unit of competency in the PUA Public Safety Training Package.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2" w:name="O_1030166"/>
      <w:bookmarkEnd w:id="2"/>
      <w:r w:rsidRPr="002627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This unit of competency involves the skills and knowledge required to use specific equipment to detect airborne contaminants, liquids and solids at a hazardous materials incident.</w:t>
            </w:r>
          </w:p>
          <w:p w:rsidR="00000000" w:rsidRPr="002627C0" w:rsidP="002627C0">
            <w:pPr>
              <w:pStyle w:val="BodyText"/>
            </w:pPr>
            <w:r w:rsidRPr="002627C0">
              <w:t>The unit applies to personnel required to detect and identify contaminants a</w:t>
            </w:r>
            <w:r w:rsidRPr="002627C0">
              <w:t>t a hazardous materials incident using specialist equipment to identify the materials, assess risks posed by the materials identified and to formulate a plan for their safe isolation and mitigation.</w:t>
            </w:r>
          </w:p>
          <w:p w:rsidR="00000000" w:rsidRPr="002627C0" w:rsidP="002627C0">
            <w:pPr>
              <w:pStyle w:val="BodyText"/>
            </w:pPr>
            <w:r w:rsidRPr="002627C0">
              <w:t>Hazardous materials incident is a generic term used to re</w:t>
            </w:r>
            <w:r w:rsidRPr="002627C0">
              <w:t>fer to an incident involving any hazardous material based on physico-chemical, chemical, biological or radiological properties that poses an unreasonable risk to life, property or the environment. This includes dangerous goods, goods too dangerous to be tr</w:t>
            </w:r>
            <w:r w:rsidRPr="002627C0">
              <w:t>ansported and hazardous chemicals.</w:t>
            </w:r>
          </w:p>
          <w:p w:rsidR="00000000" w:rsidRPr="002627C0" w:rsidP="002627C0">
            <w:pPr>
              <w:pStyle w:val="BodyText"/>
            </w:pPr>
            <w:r w:rsidRPr="002627C0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2627C0" w:rsidP="002627C0">
            <w:pPr>
              <w:pStyle w:val="BodyText"/>
            </w:pPr>
            <w:r w:rsidRPr="002627C0">
              <w:t>No licensing, legislative or certification requirements apply to this unit at the time of publication.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3" w:name="O_1030167"/>
      <w:bookmarkEnd w:id="3"/>
      <w:r w:rsidRPr="002627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It is essential that the prerequisite units listed below are obtained prior to the issuance of this unit to indi</w:t>
            </w:r>
            <w:r w:rsidRPr="002627C0">
              <w:t>viduals within the fire sector or the units contributing to the attainment of a fire qualification.</w:t>
            </w:r>
          </w:p>
          <w:p w:rsidR="00000000" w:rsidRPr="002627C0" w:rsidP="002627C0">
            <w:pPr>
              <w:pStyle w:val="BodyText"/>
            </w:pPr>
            <w:r w:rsidRPr="002627C0">
              <w:t>PUAFIR207 Operate breathing apparatus open circuit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4" w:name="O_1030168"/>
      <w:bookmarkEnd w:id="4"/>
      <w:r w:rsidRPr="002627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Fire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5" w:name="O_1030169"/>
      <w:bookmarkEnd w:id="5"/>
      <w:r w:rsidRPr="002627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Fire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6" w:name="O_1030170"/>
      <w:bookmarkEnd w:id="6"/>
      <w:r w:rsidRPr="002627C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PERFORMANCE CRITERIA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Performance criteria describe the performance needed to demonstrate achievement of the element.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Assess hazardous materials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Hazardous materials incident is approached using care and caution and a safe distance is maintained, in accordance with organisational procedures and advice from appropriate authorities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Hazardous materials are identified from a safe distance and inf</w:t>
            </w:r>
            <w:r w:rsidRPr="002627C0">
              <w:t xml:space="preserve">ormation is conveyed through the chain of command,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Information sources are accessed to determine potential behaviour of hazardous materials,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Identify and assess hazards at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Site hazards are identified,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Specific hazards relating to materials and containers are identified,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Relevan</w:t>
            </w:r>
            <w:r w:rsidRPr="002627C0">
              <w:t>t hazard information is incorporated into detection strategy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Hazards are assessed, in accordance with organisational procedures, and information is conveyed through the chain of command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Develop an entry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Entry plan objectives are identified and conveyed through the chain of command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Entry plan is developed,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Appropriate detection equipment is assessed and selected,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Personal protective clothing and equipment is identified, selected and checked, in accordance with organisational policies, procedures and respon</w:t>
            </w:r>
            <w:r w:rsidRPr="002627C0">
              <w:t>se situation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Hazard control zones are established,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Decontamination procedures are identified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Organisations required to assist with the operation are determined and documented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Detection strategy is documented,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Implement entry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Entry plan is implemented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Detection equipment is prepared for use,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Detection equipment is used and maintained,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Personal protective clothing and personal protective equipment is d</w:t>
            </w:r>
            <w:r w:rsidRPr="002627C0">
              <w:t>onned and operated, in accordance with organisational policies and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Results are recorded and reported,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Upon leaving area of operations, decontamination procedures are undertaken, in accordance with organisational procedures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rPr>
                <w:rStyle w:val="SpecialBold"/>
              </w:rPr>
              <w:t>Review entry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Entry plan is reviewed and safety of entry team is monitored,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 xml:space="preserve">Contamination incidents are recorded and reported to appropriate personnel, in accordance with organisational procedures </w:t>
            </w:r>
          </w:p>
        </w:tc>
      </w:tr>
      <w:tr w:rsidTr="002627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 xml:space="preserve">Entry plan is reviewed and documentation is completed, in accordance with organisational procedures 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7" w:name="O_1030171"/>
      <w:bookmarkEnd w:id="7"/>
      <w:r w:rsidRPr="002627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Foundation skills essential to performance are explicit in the performance criteria of this unit of competency.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8" w:name="O_1030172"/>
      <w:bookmarkEnd w:id="8"/>
      <w:r w:rsidRPr="002627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Range is restricted to essential operating conditions and any other variables essenti</w:t>
            </w:r>
            <w:r w:rsidRPr="002627C0">
              <w:t>al to the work environment.</w:t>
            </w:r>
          </w:p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Non-essential conditions may be found in the Companion Volume Implementation Guide.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identification of hazardous materials must include</w:t>
            </w:r>
          </w:p>
          <w:p w:rsidR="00000000" w:rsidP="002627C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HAZMAT (hazardous materials) information</w:t>
            </w:r>
          </w:p>
          <w:p w:rsidR="00000000" w:rsidRPr="002627C0" w:rsidP="002627C0">
            <w:pPr>
              <w:pStyle w:val="ListBullet"/>
            </w:pPr>
            <w:r w:rsidRPr="002627C0">
              <w:t>initial information</w:t>
            </w:r>
          </w:p>
          <w:p w:rsidR="00000000" w:rsidRPr="002627C0" w:rsidP="002627C0">
            <w:pPr>
              <w:pStyle w:val="ListBullet"/>
            </w:pPr>
            <w:r w:rsidRPr="002627C0">
              <w:t>placarding</w:t>
            </w:r>
          </w:p>
          <w:p w:rsidR="00000000" w:rsidRPr="002627C0" w:rsidP="002627C0">
            <w:pPr>
              <w:pStyle w:val="ListBullet"/>
            </w:pPr>
            <w:r w:rsidRPr="002627C0">
              <w:t>product or trade names</w:t>
            </w:r>
          </w:p>
          <w:p w:rsidR="00000000" w:rsidRPr="002627C0" w:rsidP="002627C0">
            <w:pPr>
              <w:pStyle w:val="ListBullet"/>
            </w:pPr>
            <w:r w:rsidRPr="002627C0">
              <w:t>site manager</w:t>
            </w:r>
          </w:p>
          <w:p w:rsidR="00000000" w:rsidP="002627C0">
            <w:pPr>
              <w:pStyle w:val="ListBullet"/>
              <w:rPr>
                <w:lang w:val="en-NZ"/>
              </w:rPr>
            </w:pPr>
            <w:r w:rsidRPr="002627C0">
              <w:t>visual signs and material indicators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information sources must include</w:t>
            </w:r>
          </w:p>
          <w:p w:rsidR="00000000" w:rsidP="002627C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CHEMDATA</w:t>
            </w:r>
          </w:p>
          <w:p w:rsidR="00000000" w:rsidRPr="002627C0" w:rsidP="002627C0">
            <w:pPr>
              <w:pStyle w:val="ListBullet"/>
            </w:pPr>
            <w:r w:rsidRPr="002627C0">
              <w:t>Safety Data Sheets (SDS)</w:t>
            </w:r>
          </w:p>
          <w:p w:rsidR="00000000" w:rsidRPr="002627C0" w:rsidP="002627C0">
            <w:pPr>
              <w:pStyle w:val="ListBullet"/>
            </w:pPr>
            <w:r w:rsidRPr="002627C0">
              <w:t>technical specialist</w:t>
            </w:r>
          </w:p>
          <w:p w:rsidR="00000000" w:rsidRPr="002627C0" w:rsidP="002627C0">
            <w:pPr>
              <w:pStyle w:val="BodyText"/>
            </w:pPr>
            <w:r w:rsidRPr="002627C0">
              <w:t>and must include one of the following</w:t>
            </w:r>
          </w:p>
          <w:p w:rsidR="00000000" w:rsidRPr="002627C0" w:rsidP="002627C0">
            <w:pPr>
              <w:pStyle w:val="ListBullet"/>
            </w:pPr>
            <w:r w:rsidRPr="002627C0">
              <w:t>electronic databases</w:t>
            </w:r>
          </w:p>
          <w:p w:rsidR="00000000" w:rsidRPr="002627C0" w:rsidP="002627C0">
            <w:pPr>
              <w:pStyle w:val="ListBullet"/>
            </w:pPr>
            <w:r w:rsidRPr="002627C0">
              <w:t>environment</w:t>
            </w:r>
          </w:p>
          <w:p w:rsidR="00000000" w:rsidP="002627C0">
            <w:pPr>
              <w:pStyle w:val="ListBullet"/>
              <w:rPr>
                <w:lang w:val="en-NZ"/>
              </w:rPr>
            </w:pPr>
            <w:r w:rsidRPr="002627C0">
              <w:t>reference texts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entry plan must include</w:t>
            </w:r>
          </w:p>
          <w:p w:rsidR="00000000" w:rsidP="002627C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action levels</w:t>
            </w:r>
          </w:p>
          <w:p w:rsidR="00000000" w:rsidRPr="002627C0" w:rsidP="002627C0">
            <w:pPr>
              <w:pStyle w:val="ListBullet"/>
            </w:pPr>
            <w:r w:rsidRPr="002627C0">
              <w:t>decontamination</w:t>
            </w:r>
          </w:p>
          <w:p w:rsidR="00000000" w:rsidRPr="002627C0" w:rsidP="002627C0">
            <w:pPr>
              <w:pStyle w:val="ListBullet"/>
            </w:pPr>
            <w:r w:rsidRPr="002627C0">
              <w:t>detection strategy</w:t>
            </w:r>
          </w:p>
          <w:p w:rsidR="00000000" w:rsidRPr="002627C0" w:rsidP="002627C0">
            <w:pPr>
              <w:pStyle w:val="ListBullet"/>
            </w:pPr>
            <w:r w:rsidRPr="002627C0">
              <w:t>personal protective clothing and equipment</w:t>
            </w:r>
          </w:p>
          <w:p w:rsidR="00000000" w:rsidP="002627C0">
            <w:pPr>
              <w:pStyle w:val="ListBullet"/>
              <w:rPr>
                <w:lang w:val="en-NZ"/>
              </w:rPr>
            </w:pPr>
            <w:r w:rsidRPr="002627C0">
              <w:t>safe approach entry and exit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detection equipment must include</w:t>
            </w:r>
          </w:p>
          <w:p w:rsidR="00000000" w:rsidP="002627C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carbon monoxide and hydrogen sulphide detectors</w:t>
            </w:r>
          </w:p>
          <w:p w:rsidR="00000000" w:rsidRPr="002627C0" w:rsidP="002627C0">
            <w:pPr>
              <w:pStyle w:val="ListBullet"/>
            </w:pPr>
            <w:r w:rsidRPr="002627C0">
              <w:t>flammable gas detector</w:t>
            </w:r>
          </w:p>
          <w:p w:rsidR="00000000" w:rsidRPr="002627C0" w:rsidP="002627C0">
            <w:pPr>
              <w:pStyle w:val="ListBullet"/>
            </w:pPr>
            <w:r w:rsidRPr="002627C0">
              <w:t>ox</w:t>
            </w:r>
            <w:r w:rsidRPr="002627C0">
              <w:t>ygen detector</w:t>
            </w:r>
          </w:p>
          <w:p w:rsidR="00000000" w:rsidRPr="002627C0" w:rsidP="002627C0">
            <w:pPr>
              <w:pStyle w:val="BodyText"/>
            </w:pPr>
            <w:r w:rsidRPr="002627C0">
              <w:t xml:space="preserve">and must include three or more of the following </w:t>
            </w:r>
          </w:p>
          <w:p w:rsidR="00000000" w:rsidRPr="002627C0" w:rsidP="002627C0">
            <w:pPr>
              <w:pStyle w:val="ListBullet"/>
            </w:pPr>
            <w:r w:rsidRPr="002627C0">
              <w:t>air sampling apparatus</w:t>
            </w:r>
          </w:p>
          <w:p w:rsidR="00000000" w:rsidRPr="002627C0" w:rsidP="002627C0">
            <w:pPr>
              <w:pStyle w:val="ListBullet"/>
            </w:pPr>
            <w:r w:rsidRPr="002627C0">
              <w:t>biological agent detectors</w:t>
            </w:r>
          </w:p>
          <w:p w:rsidR="00000000" w:rsidRPr="002627C0" w:rsidP="002627C0">
            <w:pPr>
              <w:pStyle w:val="ListBullet"/>
            </w:pPr>
            <w:r w:rsidRPr="002627C0">
              <w:t>chemical agent monitors</w:t>
            </w:r>
          </w:p>
          <w:p w:rsidR="00000000" w:rsidRPr="002627C0" w:rsidP="002627C0">
            <w:pPr>
              <w:pStyle w:val="ListBullet"/>
            </w:pPr>
            <w:r w:rsidRPr="002627C0">
              <w:t>colourimetric detection tubes</w:t>
            </w:r>
          </w:p>
          <w:p w:rsidR="00000000" w:rsidRPr="002627C0" w:rsidP="002627C0">
            <w:pPr>
              <w:pStyle w:val="ListBullet"/>
            </w:pPr>
            <w:r w:rsidRPr="002627C0">
              <w:t>field sampling kit</w:t>
            </w:r>
          </w:p>
          <w:p w:rsidR="00000000" w:rsidRPr="002627C0" w:rsidP="002627C0">
            <w:pPr>
              <w:pStyle w:val="ListBullet"/>
            </w:pPr>
            <w:r w:rsidRPr="002627C0">
              <w:t>flame ionisation detectors and flame photometric detectors</w:t>
            </w:r>
          </w:p>
          <w:p w:rsidR="00000000" w:rsidRPr="002627C0" w:rsidP="002627C0">
            <w:pPr>
              <w:pStyle w:val="ListBullet"/>
            </w:pPr>
            <w:r w:rsidRPr="002627C0">
              <w:t>Fourier Transform Infrared (FTIR) spectrometers</w:t>
            </w:r>
          </w:p>
          <w:p w:rsidR="00000000" w:rsidRPr="002627C0" w:rsidP="002627C0">
            <w:pPr>
              <w:pStyle w:val="ListBullet"/>
            </w:pPr>
            <w:r w:rsidRPr="002627C0">
              <w:t>Hazard Categorisation (HAZCAT) kits</w:t>
            </w:r>
          </w:p>
          <w:p w:rsidR="00000000" w:rsidRPr="002627C0" w:rsidP="002627C0">
            <w:pPr>
              <w:pStyle w:val="ListBullet"/>
            </w:pPr>
            <w:r w:rsidRPr="002627C0">
              <w:t>indicator paper</w:t>
            </w:r>
          </w:p>
          <w:p w:rsidR="00000000" w:rsidRPr="002627C0" w:rsidP="002627C0">
            <w:pPr>
              <w:pStyle w:val="ListBullet"/>
            </w:pPr>
            <w:r w:rsidRPr="002627C0">
              <w:t>ionisation mobility spectrometers</w:t>
            </w:r>
          </w:p>
          <w:p w:rsidR="00000000" w:rsidRPr="002627C0" w:rsidP="002627C0">
            <w:pPr>
              <w:pStyle w:val="ListBullet"/>
            </w:pPr>
            <w:r w:rsidRPr="002627C0">
              <w:t>photoionisation detectors</w:t>
            </w:r>
          </w:p>
          <w:p w:rsidR="00000000" w:rsidRPr="002627C0" w:rsidP="002627C0">
            <w:pPr>
              <w:pStyle w:val="ListBullet"/>
            </w:pPr>
            <w:r w:rsidRPr="002627C0">
              <w:t>radiation detectors and dosimeters</w:t>
            </w:r>
          </w:p>
          <w:p w:rsidR="00000000" w:rsidRPr="002627C0" w:rsidP="002627C0">
            <w:pPr>
              <w:pStyle w:val="ListBullet"/>
            </w:pPr>
            <w:r w:rsidRPr="002627C0">
              <w:t>radioisotope identifiers and neutron detectors</w:t>
            </w:r>
          </w:p>
          <w:p w:rsidR="00000000" w:rsidRPr="002627C0" w:rsidP="002627C0">
            <w:pPr>
              <w:pStyle w:val="ListBullet"/>
            </w:pPr>
            <w:r w:rsidRPr="002627C0">
              <w:t>Raman spectrom</w:t>
            </w:r>
            <w:r w:rsidRPr="002627C0">
              <w:t>eters</w:t>
            </w:r>
          </w:p>
          <w:p w:rsidR="00000000" w:rsidRPr="002627C0" w:rsidP="002627C0">
            <w:pPr>
              <w:pStyle w:val="ListBullet"/>
            </w:pPr>
            <w:r w:rsidRPr="002627C0">
              <w:t>remote air sampling equipment</w:t>
            </w:r>
          </w:p>
          <w:p w:rsidR="00000000" w:rsidRPr="002627C0" w:rsidP="002627C0">
            <w:pPr>
              <w:pStyle w:val="ListBullet"/>
            </w:pPr>
            <w:r w:rsidRPr="002627C0">
              <w:t>sampling tubes</w:t>
            </w:r>
          </w:p>
          <w:p w:rsidR="00000000" w:rsidP="002627C0">
            <w:pPr>
              <w:pStyle w:val="ListBullet"/>
              <w:rPr>
                <w:lang w:val="en-NZ"/>
              </w:rPr>
            </w:pPr>
            <w:r w:rsidRPr="002627C0">
              <w:t xml:space="preserve">specific electrochemical detectors such as formaldehyde, chlorine, mass spectrometers and explosive detection kits and/or detectors 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personal protective clothing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chemical protective clothing including splash suits</w:t>
            </w:r>
          </w:p>
          <w:p w:rsidR="00000000" w:rsidRPr="002627C0" w:rsidP="002627C0">
            <w:pPr>
              <w:pStyle w:val="ListBullet"/>
            </w:pPr>
            <w:r w:rsidRPr="002627C0">
              <w:t>gas tight suits</w:t>
            </w:r>
          </w:p>
          <w:p w:rsidR="00000000" w:rsidP="002627C0">
            <w:pPr>
              <w:pStyle w:val="ListBullet"/>
              <w:rPr>
                <w:lang w:val="en-NZ"/>
              </w:rPr>
            </w:pPr>
            <w:r w:rsidRPr="002627C0">
              <w:t>turnout uniform and gloves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7C0">
            <w:pPr>
              <w:pStyle w:val="BodyText"/>
              <w:rPr>
                <w:lang w:val="en-NZ"/>
              </w:rPr>
            </w:pPr>
            <w:r w:rsidRPr="002627C0">
              <w:t>personal protective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breathing apparatus</w:t>
            </w:r>
          </w:p>
          <w:p w:rsidR="00000000" w:rsidRPr="002627C0" w:rsidP="002627C0">
            <w:pPr>
              <w:pStyle w:val="ListBullet"/>
            </w:pPr>
            <w:r w:rsidRPr="002627C0">
              <w:t xml:space="preserve">control boards </w:t>
            </w:r>
          </w:p>
          <w:p w:rsidR="00000000" w:rsidP="002627C0">
            <w:pPr>
              <w:pStyle w:val="ListBullet"/>
              <w:rPr>
                <w:lang w:val="en-NZ"/>
              </w:rPr>
            </w:pPr>
            <w:r w:rsidRPr="002627C0">
              <w:t>Distress Signal Units (DSU)</w:t>
            </w:r>
          </w:p>
        </w:tc>
      </w:tr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response situations must include three or more of t</w:t>
            </w:r>
            <w:r w:rsidRPr="002627C0">
              <w:t>he following</w:t>
            </w:r>
          </w:p>
          <w:p w:rsidR="00000000" w:rsidP="002627C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ListBullet"/>
            </w:pPr>
            <w:r w:rsidRPr="002627C0">
              <w:t>confined spaces</w:t>
            </w:r>
          </w:p>
          <w:p w:rsidR="00000000" w:rsidRPr="002627C0" w:rsidP="002627C0">
            <w:pPr>
              <w:pStyle w:val="ListBullet"/>
            </w:pPr>
            <w:r w:rsidRPr="002627C0">
              <w:t xml:space="preserve">hazardous materials storage sites </w:t>
            </w:r>
          </w:p>
          <w:p w:rsidR="00000000" w:rsidRPr="002627C0" w:rsidP="002627C0">
            <w:pPr>
              <w:pStyle w:val="ListBullet"/>
            </w:pPr>
            <w:r w:rsidRPr="002627C0">
              <w:t>hazardous waste sites</w:t>
            </w:r>
          </w:p>
          <w:p w:rsidR="00000000" w:rsidRPr="002627C0" w:rsidP="002627C0">
            <w:pPr>
              <w:pStyle w:val="ListBullet"/>
            </w:pPr>
            <w:r w:rsidRPr="002627C0">
              <w:t>motor vehicle accidents</w:t>
            </w:r>
          </w:p>
          <w:p w:rsidR="00000000" w:rsidRPr="002627C0" w:rsidP="002627C0">
            <w:pPr>
              <w:pStyle w:val="ListBullet"/>
            </w:pPr>
            <w:r w:rsidRPr="002627C0">
              <w:t>post fire situations</w:t>
            </w:r>
          </w:p>
          <w:p w:rsidR="00000000" w:rsidRPr="002627C0" w:rsidP="002627C0">
            <w:pPr>
              <w:pStyle w:val="ListBullet"/>
            </w:pPr>
            <w:r w:rsidRPr="002627C0">
              <w:t>ships</w:t>
            </w:r>
          </w:p>
          <w:p w:rsidR="00000000" w:rsidRPr="002627C0" w:rsidP="002627C0">
            <w:pPr>
              <w:pStyle w:val="ListBullet"/>
            </w:pPr>
            <w:r w:rsidRPr="002627C0">
              <w:t>storage tanks and silos</w:t>
            </w:r>
          </w:p>
          <w:p w:rsidR="00000000" w:rsidRPr="002627C0" w:rsidP="002627C0">
            <w:pPr>
              <w:pStyle w:val="ListBullet"/>
            </w:pPr>
            <w:r w:rsidRPr="002627C0">
              <w:t>transport vehicles</w:t>
            </w:r>
          </w:p>
          <w:p w:rsidR="00000000" w:rsidRPr="002627C0" w:rsidP="002627C0">
            <w:pPr>
              <w:pStyle w:val="ListBullet"/>
            </w:pPr>
            <w:r w:rsidRPr="002627C0">
              <w:t>unknown substance incidents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9" w:name="O_1030173"/>
      <w:bookmarkEnd w:id="9"/>
      <w:r w:rsidRPr="002627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27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7C0" w:rsidP="002627C0">
            <w:pPr>
              <w:pStyle w:val="BodyText"/>
            </w:pPr>
            <w:r w:rsidRPr="002627C0">
              <w:t>This unit replaces and is equivalent to PUAFIR316 Identify, detect and monitor hazardous materials at an incident.</w:t>
            </w:r>
          </w:p>
        </w:tc>
      </w:tr>
    </w:tbl>
    <w:p w:rsidR="00000000" w:rsidRPr="002627C0" w:rsidP="002627C0">
      <w:pPr>
        <w:pStyle w:val="NoPaddingFontSize1"/>
      </w:pPr>
    </w:p>
    <w:p w:rsidR="00000000" w:rsidRPr="002627C0" w:rsidP="002627C0">
      <w:pPr>
        <w:pStyle w:val="AllowPageBreak"/>
      </w:pPr>
    </w:p>
    <w:p w:rsidR="00000000" w:rsidRPr="002627C0" w:rsidP="002627C0">
      <w:pPr>
        <w:pStyle w:val="Heading1"/>
      </w:pPr>
      <w:bookmarkStart w:id="10" w:name="O_1030180"/>
      <w:bookmarkEnd w:id="10"/>
      <w:r w:rsidRPr="002627C0">
        <w:t>Links</w:t>
      </w:r>
    </w:p>
    <w:p w:rsidR="00000000" w:rsidRPr="002627C0" w:rsidP="0094032C">
      <w:pPr>
        <w:pStyle w:val="BodyText"/>
      </w:pPr>
      <w:r w:rsidRPr="002627C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57F7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627C0" w:rsidP="002627C0"/>
    <w:sectPr w:rsidSect="002627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C0" w:rsidRPr="0094032C" w:rsidP="00940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2C" w:rsidP="002627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32C" w:rsidP="002627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032C" w:rsidP="002627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7C0" w:rsidRPr="0094032C" w:rsidP="00940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2C" w:rsidRPr="002D2AF8" w:rsidP="002627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PUAFIR306 Identify, detect and monitor hazardous materials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4032C" w:rsidP="002627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40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C45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7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7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7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7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7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7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7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7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7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7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7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7C0"/>
  </w:style>
  <w:style w:type="character" w:customStyle="1" w:styleId="Heading1Char">
    <w:name w:val="Heading 1 Char"/>
    <w:basedOn w:val="DefaultParagraphFont"/>
    <w:link w:val="Heading1"/>
    <w:rsid w:val="002627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7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7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7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7C0"/>
    <w:rPr>
      <w:b/>
      <w:spacing w:val="0"/>
    </w:rPr>
  </w:style>
  <w:style w:type="paragraph" w:customStyle="1" w:styleId="SuperHeading">
    <w:name w:val="SuperHeading"/>
    <w:basedOn w:val="Normal"/>
    <w:rsid w:val="002627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7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27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7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7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7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7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7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7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7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7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7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7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7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7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7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7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7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7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7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7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7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7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7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7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7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7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7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7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7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7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7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7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7C0"/>
    <w:rPr>
      <w:i/>
    </w:rPr>
  </w:style>
  <w:style w:type="paragraph" w:styleId="Caption">
    <w:name w:val="caption"/>
    <w:basedOn w:val="BodyText"/>
    <w:next w:val="Normal"/>
    <w:qFormat/>
    <w:rsid w:val="002627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7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7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7C0"/>
  </w:style>
  <w:style w:type="paragraph" w:styleId="TableofFigures">
    <w:name w:val="table of figures"/>
    <w:basedOn w:val="Normal"/>
    <w:next w:val="Normal"/>
    <w:semiHidden/>
    <w:rsid w:val="002627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7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27C0"/>
    <w:rPr>
      <w:rFonts w:ascii="Wingdings" w:hAnsi="Wingdings"/>
    </w:rPr>
  </w:style>
  <w:style w:type="paragraph" w:customStyle="1" w:styleId="TableHeading">
    <w:name w:val="Table Heading"/>
    <w:basedOn w:val="HeadingBase"/>
    <w:rsid w:val="002627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7C0"/>
    <w:rPr>
      <w:color w:val="0033CC"/>
      <w:u w:val="none"/>
    </w:rPr>
  </w:style>
  <w:style w:type="paragraph" w:customStyle="1" w:styleId="BodyTextRight">
    <w:name w:val="Body Text Right"/>
    <w:basedOn w:val="BodyText"/>
    <w:rsid w:val="002627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7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7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7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7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7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7C0"/>
    <w:rPr>
      <w:sz w:val="32"/>
    </w:rPr>
  </w:style>
  <w:style w:type="paragraph" w:customStyle="1" w:styleId="HeadingProcedure">
    <w:name w:val="Heading Procedure"/>
    <w:basedOn w:val="HeadingBase"/>
    <w:next w:val="Normal"/>
    <w:rsid w:val="002627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7C0"/>
    <w:pPr>
      <w:spacing w:before="60" w:after="60"/>
    </w:pPr>
  </w:style>
  <w:style w:type="paragraph" w:styleId="ListContinue">
    <w:name w:val="List Continue"/>
    <w:basedOn w:val="List"/>
    <w:rsid w:val="002627C0"/>
    <w:pPr>
      <w:ind w:firstLine="0"/>
    </w:pPr>
  </w:style>
  <w:style w:type="paragraph" w:customStyle="1" w:styleId="ListNote">
    <w:name w:val="List Note"/>
    <w:basedOn w:val="List"/>
    <w:rsid w:val="002627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7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7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7C0"/>
    <w:rPr>
      <w:rFonts w:ascii="Courier New" w:hAnsi="Courier New"/>
    </w:rPr>
  </w:style>
  <w:style w:type="paragraph" w:customStyle="1" w:styleId="NoteBullet">
    <w:name w:val="Note Bullet"/>
    <w:basedOn w:val="Note"/>
    <w:rsid w:val="002627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7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7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7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7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27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7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7C0"/>
    <w:rPr>
      <w:b/>
      <w:smallCaps/>
    </w:rPr>
  </w:style>
  <w:style w:type="paragraph" w:customStyle="1" w:styleId="TableListNumber">
    <w:name w:val="Table List Number"/>
    <w:basedOn w:val="ListNumber"/>
    <w:rsid w:val="002627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7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7C0"/>
    <w:pPr>
      <w:numPr>
        <w:numId w:val="8"/>
      </w:numPr>
    </w:pPr>
  </w:style>
  <w:style w:type="paragraph" w:customStyle="1" w:styleId="ListAlpha2">
    <w:name w:val="List Alpha 2"/>
    <w:basedOn w:val="List2"/>
    <w:rsid w:val="002627C0"/>
    <w:pPr>
      <w:numPr>
        <w:numId w:val="7"/>
      </w:numPr>
    </w:pPr>
  </w:style>
  <w:style w:type="paragraph" w:styleId="List2">
    <w:name w:val="List 2"/>
    <w:basedOn w:val="BodyText"/>
    <w:rsid w:val="002627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7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7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7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7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7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7C0"/>
    <w:pPr>
      <w:numPr>
        <w:numId w:val="3"/>
      </w:numPr>
    </w:pPr>
  </w:style>
  <w:style w:type="paragraph" w:styleId="ListContinue2">
    <w:name w:val="List Continue 2"/>
    <w:basedOn w:val="List2"/>
    <w:rsid w:val="002627C0"/>
    <w:pPr>
      <w:ind w:firstLine="0"/>
    </w:pPr>
  </w:style>
  <w:style w:type="paragraph" w:styleId="ListContinue3">
    <w:name w:val="List Continue 3"/>
    <w:basedOn w:val="List3"/>
    <w:rsid w:val="002627C0"/>
    <w:pPr>
      <w:ind w:left="1021" w:firstLine="0"/>
    </w:pPr>
  </w:style>
  <w:style w:type="paragraph" w:styleId="ListContinue4">
    <w:name w:val="List Continue 4"/>
    <w:basedOn w:val="List4"/>
    <w:rsid w:val="002627C0"/>
    <w:pPr>
      <w:ind w:firstLine="0"/>
    </w:pPr>
  </w:style>
  <w:style w:type="paragraph" w:styleId="ListContinue5">
    <w:name w:val="List Continue 5"/>
    <w:basedOn w:val="List5"/>
    <w:rsid w:val="002627C0"/>
    <w:pPr>
      <w:ind w:firstLine="0"/>
    </w:pPr>
  </w:style>
  <w:style w:type="paragraph" w:styleId="ListNumber3">
    <w:name w:val="List Number 3"/>
    <w:basedOn w:val="List3"/>
    <w:rsid w:val="002627C0"/>
    <w:pPr>
      <w:numPr>
        <w:numId w:val="4"/>
      </w:numPr>
    </w:pPr>
  </w:style>
  <w:style w:type="paragraph" w:styleId="ListNumber4">
    <w:name w:val="List Number 4"/>
    <w:basedOn w:val="List4"/>
    <w:rsid w:val="002627C0"/>
    <w:pPr>
      <w:numPr>
        <w:numId w:val="5"/>
      </w:numPr>
    </w:pPr>
  </w:style>
  <w:style w:type="paragraph" w:styleId="ListNumber5">
    <w:name w:val="List Number 5"/>
    <w:basedOn w:val="List5"/>
    <w:rsid w:val="002627C0"/>
    <w:pPr>
      <w:numPr>
        <w:numId w:val="6"/>
      </w:numPr>
    </w:pPr>
  </w:style>
  <w:style w:type="paragraph" w:styleId="BlockText">
    <w:name w:val="Block Text"/>
    <w:basedOn w:val="Normal"/>
    <w:rsid w:val="002627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7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7C0"/>
    <w:rPr>
      <w:sz w:val="16"/>
      <w:vertAlign w:val="superscript"/>
    </w:rPr>
  </w:style>
  <w:style w:type="character" w:customStyle="1" w:styleId="Symbols">
    <w:name w:val="Symbols"/>
    <w:basedOn w:val="DefaultParagraphFont"/>
    <w:rsid w:val="002627C0"/>
    <w:rPr>
      <w:rFonts w:ascii="Symbol" w:hAnsi="Symbol"/>
    </w:rPr>
  </w:style>
  <w:style w:type="character" w:customStyle="1" w:styleId="MenuOptions">
    <w:name w:val="Menu Options"/>
    <w:basedOn w:val="DefaultParagraphFont"/>
    <w:rsid w:val="002627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7C0"/>
    <w:rPr>
      <w:b/>
    </w:rPr>
  </w:style>
  <w:style w:type="character" w:customStyle="1" w:styleId="Underlined">
    <w:name w:val="Underlined"/>
    <w:basedOn w:val="DefaultParagraphFont"/>
    <w:rsid w:val="002627C0"/>
    <w:rPr>
      <w:u w:val="single"/>
    </w:rPr>
  </w:style>
  <w:style w:type="paragraph" w:customStyle="1" w:styleId="TableBodyTextRight">
    <w:name w:val="Table Body Text Right"/>
    <w:basedOn w:val="TableBodyText"/>
    <w:rsid w:val="002627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7C0"/>
    <w:rPr>
      <w:sz w:val="18"/>
    </w:rPr>
  </w:style>
  <w:style w:type="paragraph" w:customStyle="1" w:styleId="BodySmallRight">
    <w:name w:val="Body Small Right"/>
    <w:basedOn w:val="BodyTextRight"/>
    <w:rsid w:val="002627C0"/>
    <w:rPr>
      <w:sz w:val="18"/>
      <w:szCs w:val="18"/>
    </w:rPr>
  </w:style>
  <w:style w:type="paragraph" w:customStyle="1" w:styleId="MarginEdition">
    <w:name w:val="Margin Edition"/>
    <w:basedOn w:val="MarginNote"/>
    <w:rsid w:val="002627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7C0"/>
    <w:rPr>
      <w:sz w:val="2"/>
      <w:szCs w:val="2"/>
    </w:rPr>
  </w:style>
  <w:style w:type="character" w:customStyle="1" w:styleId="Small">
    <w:name w:val="Small"/>
    <w:basedOn w:val="DefaultParagraphFont"/>
    <w:rsid w:val="002627C0"/>
    <w:rPr>
      <w:sz w:val="16"/>
    </w:rPr>
  </w:style>
  <w:style w:type="paragraph" w:customStyle="1" w:styleId="WideTable">
    <w:name w:val="Wide Table"/>
    <w:basedOn w:val="Normal"/>
    <w:rsid w:val="002627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7C0"/>
  </w:style>
  <w:style w:type="paragraph" w:styleId="Quote">
    <w:name w:val="Quote"/>
    <w:basedOn w:val="Heading1"/>
    <w:link w:val="QuoteChar"/>
    <w:qFormat/>
    <w:rsid w:val="002627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7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7C0"/>
    <w:pPr>
      <w:pageBreakBefore/>
    </w:pPr>
  </w:style>
  <w:style w:type="paragraph" w:customStyle="1" w:styleId="Border">
    <w:name w:val="Border"/>
    <w:basedOn w:val="Normal"/>
    <w:qFormat/>
    <w:rsid w:val="002627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7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7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7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7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7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7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7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7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7C0"/>
    <w:rPr>
      <w:u w:val="single"/>
    </w:rPr>
  </w:style>
  <w:style w:type="character" w:customStyle="1" w:styleId="BoldandItalics">
    <w:name w:val="Bold and Italics"/>
    <w:qFormat/>
    <w:rsid w:val="002627C0"/>
    <w:rPr>
      <w:b/>
      <w:i/>
      <w:u w:val="none"/>
    </w:rPr>
  </w:style>
  <w:style w:type="paragraph" w:styleId="BalloonText">
    <w:name w:val="Balloon Text"/>
    <w:basedOn w:val="Normal"/>
    <w:link w:val="BalloonTextChar"/>
    <w:rsid w:val="002627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7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7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7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7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7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7C0"/>
    <w:pPr>
      <w:spacing w:before="0" w:after="0"/>
    </w:pPr>
  </w:style>
  <w:style w:type="paragraph" w:customStyle="1" w:styleId="BodyTextBold">
    <w:name w:val="Body Text Bold"/>
    <w:basedOn w:val="BodyText"/>
    <w:qFormat/>
    <w:rsid w:val="002627C0"/>
    <w:rPr>
      <w:b/>
    </w:rPr>
  </w:style>
  <w:style w:type="character" w:styleId="Hyperlink">
    <w:name w:val="Hyperlink"/>
    <w:basedOn w:val="DefaultParagraphFont"/>
    <w:uiPriority w:val="99"/>
    <w:unhideWhenUsed/>
    <w:rsid w:val="00940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6447</Characters>
  <Application>Microsoft Office Word</Application>
  <DocSecurity>0</DocSecurity>
  <Lines>293</Lines>
  <Paragraphs>176</Paragraphs>
  <ScaleCrop>false</ScaleCrop>
  <Company>Author-it Software Corporation Ltd.</Company>
  <LinksUpToDate>false</LinksUpToDate>
  <CharactersWithSpaces>7249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PUAFIR306 Identify, detect and monitor hazardous materials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