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56B2" w:rsidP="004856B2">
      <w:pPr>
        <w:pStyle w:val="Title"/>
      </w:pPr>
      <w:r>
        <w:fldChar w:fldCharType="begin"/>
      </w:r>
      <w:r>
        <w:instrText xml:space="preserve"> TITLE   \* MERGEFORMAT </w:instrText>
      </w:r>
      <w:r>
        <w:fldChar w:fldCharType="separate"/>
      </w:r>
      <w:r>
        <w:t>PUAFIR302 Suppress urban fire</w:t>
      </w:r>
      <w:r>
        <w:fldChar w:fldCharType="end"/>
      </w:r>
    </w:p>
    <w:p w:rsidR="004856B2" w:rsidP="004856B2">
      <w:pPr>
        <w:pStyle w:val="Version"/>
        <w:sectPr w:rsidSect="00EF5B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F5BC4" w:rsidP="00EF5BC4">
      <w:pPr>
        <w:pStyle w:val="SuperHeading"/>
      </w:pPr>
      <w:r w:rsidRPr="00EF5BC4">
        <w:t>PUAFIR302 Suppress urban fire</w:t>
      </w:r>
    </w:p>
    <w:p w:rsidR="00000000" w:rsidRPr="00EF5BC4" w:rsidP="00EF5BC4">
      <w:pPr>
        <w:pStyle w:val="Heading1"/>
      </w:pPr>
      <w:bookmarkStart w:id="1" w:name="O_1226582"/>
      <w:bookmarkEnd w:id="1"/>
      <w:r w:rsidRPr="00EF5BC4">
        <w:t>Modification History</w:t>
      </w:r>
    </w:p>
    <w:tbl>
      <w:tblPr>
        <w:tblW w:w="9497" w:type="dxa"/>
        <w:tblLayout w:type="fixed"/>
        <w:tblCellMar>
          <w:left w:w="62" w:type="dxa"/>
          <w:right w:w="62" w:type="dxa"/>
        </w:tblCellMar>
        <w:tblLook w:val="0000"/>
      </w:tblPr>
      <w:tblGrid>
        <w:gridCol w:w="9497"/>
      </w:tblGrid>
      <w:tr w:rsidTr="00EF5B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5BC4" w:rsidP="00EF5BC4">
            <w:pPr>
              <w:pStyle w:val="BodyText"/>
            </w:pPr>
            <w:r w:rsidRPr="00EF5BC4">
              <w:rPr>
                <w:rStyle w:val="SpecialBold"/>
              </w:rPr>
              <w:t>Release 2.</w:t>
            </w:r>
            <w:r w:rsidRPr="00EF5BC4">
              <w:t xml:space="preserve"> Updated superseded HLT Pre-requisite unit.</w:t>
            </w:r>
          </w:p>
          <w:p w:rsidR="00000000" w:rsidRPr="00EF5BC4" w:rsidP="00EF5BC4">
            <w:pPr>
              <w:pStyle w:val="BodyText"/>
            </w:pPr>
            <w:r w:rsidRPr="00EF5BC4">
              <w:rPr>
                <w:rStyle w:val="SpecialBold"/>
              </w:rPr>
              <w:t>Release 1.</w:t>
            </w:r>
            <w:r w:rsidRPr="00EF5BC4">
              <w:t xml:space="preserve"> This is the first release of this unit of competency in the PUA Public Safety Training Package.</w:t>
            </w:r>
          </w:p>
        </w:tc>
      </w:tr>
    </w:tbl>
    <w:p w:rsidR="00000000" w:rsidRPr="00EF5BC4" w:rsidP="00EF5BC4">
      <w:pPr>
        <w:pStyle w:val="NoPaddingFontSize1"/>
      </w:pPr>
    </w:p>
    <w:p w:rsidR="00000000" w:rsidRPr="00EF5BC4" w:rsidP="00EF5BC4">
      <w:pPr>
        <w:pStyle w:val="AllowPageBreak"/>
      </w:pPr>
    </w:p>
    <w:p w:rsidR="00000000" w:rsidRPr="00EF5BC4" w:rsidP="00EF5BC4">
      <w:pPr>
        <w:pStyle w:val="Heading1"/>
      </w:pPr>
      <w:bookmarkStart w:id="2" w:name="O_1226581"/>
      <w:bookmarkEnd w:id="2"/>
      <w:r w:rsidRPr="00EF5BC4">
        <w:t>Application</w:t>
      </w:r>
    </w:p>
    <w:tbl>
      <w:tblPr>
        <w:tblW w:w="9497" w:type="dxa"/>
        <w:tblLayout w:type="fixed"/>
        <w:tblCellMar>
          <w:left w:w="62" w:type="dxa"/>
          <w:right w:w="62" w:type="dxa"/>
        </w:tblCellMar>
        <w:tblLook w:val="0000"/>
      </w:tblPr>
      <w:tblGrid>
        <w:gridCol w:w="9497"/>
      </w:tblGrid>
      <w:tr w:rsidTr="00EF5B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5BC4" w:rsidP="00EF5BC4">
            <w:pPr>
              <w:pStyle w:val="BodyText"/>
            </w:pPr>
            <w:r w:rsidRPr="00EF5BC4">
              <w:t>This unit involves the skills and knowled</w:t>
            </w:r>
            <w:r w:rsidRPr="00EF5BC4">
              <w:t>ge required to work as a member of a team under limited supervision when suppressing an urban fire. It includes responding to fires and determining extinguishing media, equipment and structural fire behaviour. It also includes protecting people; how to att</w:t>
            </w:r>
            <w:r w:rsidRPr="00EF5BC4">
              <w:t>ack fires, ventilate structures, observe and react to fire conditions; undertake ancillary firefighting operations and complete operations.</w:t>
            </w:r>
          </w:p>
          <w:p w:rsidR="00000000" w:rsidRPr="00EF5BC4" w:rsidP="00EF5BC4">
            <w:pPr>
              <w:pStyle w:val="BodyText"/>
            </w:pPr>
            <w:r w:rsidRPr="00EF5BC4">
              <w:t>The unit applies to personnel required to suppress a range of different types of structure and non-structure fires w</w:t>
            </w:r>
            <w:r w:rsidRPr="00EF5BC4">
              <w:t>here there is the potential for multiple hazards to be present.</w:t>
            </w:r>
          </w:p>
          <w:p w:rsidR="00000000" w:rsidRPr="00EF5BC4" w:rsidP="00EF5BC4">
            <w:pPr>
              <w:pStyle w:val="BodyText"/>
            </w:pPr>
            <w:r w:rsidRPr="00EF5BC4">
              <w:t xml:space="preserve">The fire sector is those sections of government departments, statutory authorities or organisations that have responsibility under jurisdictional arrangements for the delivery of firefighting </w:t>
            </w:r>
            <w:r w:rsidRPr="00EF5BC4">
              <w:t>and fire management services.</w:t>
            </w:r>
          </w:p>
          <w:p w:rsidR="00000000" w:rsidRPr="00EF5BC4" w:rsidP="00EF5BC4">
            <w:pPr>
              <w:pStyle w:val="BodyText"/>
            </w:pPr>
            <w:r w:rsidRPr="00EF5BC4">
              <w:t>No licensing, legislative or certification requirements apply to this unit at the time of publication.</w:t>
            </w:r>
          </w:p>
        </w:tc>
      </w:tr>
    </w:tbl>
    <w:p w:rsidR="00000000" w:rsidRPr="00EF5BC4" w:rsidP="00EF5BC4">
      <w:pPr>
        <w:pStyle w:val="NoPaddingFontSize1"/>
      </w:pPr>
    </w:p>
    <w:p w:rsidR="00000000" w:rsidRPr="00EF5BC4" w:rsidP="00EF5BC4">
      <w:pPr>
        <w:pStyle w:val="AllowPageBreak"/>
      </w:pPr>
    </w:p>
    <w:p w:rsidR="00000000" w:rsidRPr="00EF5BC4" w:rsidP="00EF5BC4">
      <w:pPr>
        <w:pStyle w:val="Heading1"/>
      </w:pPr>
      <w:bookmarkStart w:id="3" w:name="O_1226580"/>
      <w:bookmarkEnd w:id="3"/>
      <w:r w:rsidRPr="00EF5BC4">
        <w:t>Pre-requisite Unit</w:t>
      </w:r>
    </w:p>
    <w:tbl>
      <w:tblPr>
        <w:tblW w:w="9497" w:type="dxa"/>
        <w:tblLayout w:type="fixed"/>
        <w:tblCellMar>
          <w:left w:w="62" w:type="dxa"/>
          <w:right w:w="62" w:type="dxa"/>
        </w:tblCellMar>
        <w:tblLook w:val="0000"/>
      </w:tblPr>
      <w:tblGrid>
        <w:gridCol w:w="9497"/>
      </w:tblGrid>
      <w:tr w:rsidTr="00EF5B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5BC4" w:rsidP="00EF5BC4">
            <w:pPr>
              <w:pStyle w:val="BodyText"/>
            </w:pPr>
            <w:r w:rsidRPr="00EF5BC4">
              <w:t xml:space="preserve">It is essential that the prerequisite units listed below are obtained prior to the </w:t>
            </w:r>
            <w:r w:rsidRPr="00EF5BC4">
              <w:t>issuance of this unit to individuals within the fire sector or the units contributing to the attainment of a fire qualification.</w:t>
            </w:r>
          </w:p>
          <w:p w:rsidR="00000000" w:rsidRPr="00EF5BC4" w:rsidP="00EF5BC4">
            <w:pPr>
              <w:pStyle w:val="BodyText"/>
            </w:pPr>
            <w:r w:rsidRPr="00EF5BC4">
              <w:t>HLTAID011 Provide First Aid</w:t>
            </w:r>
          </w:p>
          <w:p w:rsidR="00000000" w:rsidRPr="00EF5BC4" w:rsidP="00EF5BC4">
            <w:pPr>
              <w:pStyle w:val="BodyText"/>
            </w:pPr>
            <w:r w:rsidRPr="00EF5BC4">
              <w:t>PUAFIR203 Respond to urban fire</w:t>
            </w:r>
          </w:p>
        </w:tc>
      </w:tr>
    </w:tbl>
    <w:p w:rsidR="00000000" w:rsidRPr="00EF5BC4" w:rsidP="00EF5BC4">
      <w:pPr>
        <w:pStyle w:val="NoPaddingFontSize1"/>
      </w:pPr>
    </w:p>
    <w:p w:rsidR="00000000" w:rsidRPr="00EF5BC4" w:rsidP="00EF5BC4">
      <w:pPr>
        <w:pStyle w:val="AllowPageBreak"/>
      </w:pPr>
    </w:p>
    <w:p w:rsidR="00000000" w:rsidRPr="00EF5BC4" w:rsidP="00EF5BC4">
      <w:pPr>
        <w:pStyle w:val="Heading1"/>
      </w:pPr>
      <w:bookmarkStart w:id="4" w:name="O_1226579"/>
      <w:bookmarkEnd w:id="4"/>
      <w:r w:rsidRPr="00EF5BC4">
        <w:t>Competency Field</w:t>
      </w:r>
    </w:p>
    <w:tbl>
      <w:tblPr>
        <w:tblW w:w="9497" w:type="dxa"/>
        <w:tblLayout w:type="fixed"/>
        <w:tblCellMar>
          <w:left w:w="62" w:type="dxa"/>
          <w:right w:w="62" w:type="dxa"/>
        </w:tblCellMar>
        <w:tblLook w:val="0000"/>
      </w:tblPr>
      <w:tblGrid>
        <w:gridCol w:w="9497"/>
      </w:tblGrid>
      <w:tr w:rsidTr="00EF5B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5BC4" w:rsidP="00EF5BC4">
            <w:pPr>
              <w:pStyle w:val="BodyText"/>
            </w:pPr>
            <w:r w:rsidRPr="00EF5BC4">
              <w:t>Fire</w:t>
            </w:r>
          </w:p>
        </w:tc>
      </w:tr>
    </w:tbl>
    <w:p w:rsidR="00000000" w:rsidRPr="00EF5BC4" w:rsidP="00EF5BC4">
      <w:pPr>
        <w:pStyle w:val="NoPaddingFontSize1"/>
      </w:pPr>
    </w:p>
    <w:p w:rsidR="00000000" w:rsidRPr="00EF5BC4" w:rsidP="00EF5BC4">
      <w:pPr>
        <w:pStyle w:val="AllowPageBreak"/>
      </w:pPr>
    </w:p>
    <w:p w:rsidR="00000000" w:rsidRPr="00EF5BC4" w:rsidP="00EF5BC4">
      <w:pPr>
        <w:pStyle w:val="Heading1"/>
      </w:pPr>
      <w:bookmarkStart w:id="5" w:name="O_1226578"/>
      <w:bookmarkEnd w:id="5"/>
      <w:r w:rsidRPr="00EF5BC4">
        <w:t>Unit Sector</w:t>
      </w:r>
    </w:p>
    <w:tbl>
      <w:tblPr>
        <w:tblW w:w="9497" w:type="dxa"/>
        <w:tblLayout w:type="fixed"/>
        <w:tblCellMar>
          <w:left w:w="62" w:type="dxa"/>
          <w:right w:w="62" w:type="dxa"/>
        </w:tblCellMar>
        <w:tblLook w:val="0000"/>
      </w:tblPr>
      <w:tblGrid>
        <w:gridCol w:w="9497"/>
      </w:tblGrid>
      <w:tr w:rsidTr="00EF5B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5BC4" w:rsidP="00EF5BC4">
            <w:pPr>
              <w:pStyle w:val="BodyText"/>
            </w:pPr>
            <w:r w:rsidRPr="00EF5BC4">
              <w:t>Fire</w:t>
            </w:r>
          </w:p>
        </w:tc>
      </w:tr>
    </w:tbl>
    <w:p w:rsidR="00000000" w:rsidRPr="00EF5BC4" w:rsidP="00EF5BC4">
      <w:pPr>
        <w:pStyle w:val="NoPaddingFontSize1"/>
      </w:pPr>
    </w:p>
    <w:p w:rsidR="00000000" w:rsidRPr="00EF5BC4" w:rsidP="00EF5BC4">
      <w:pPr>
        <w:pStyle w:val="AllowPageBreak"/>
      </w:pPr>
    </w:p>
    <w:p w:rsidR="00000000" w:rsidRPr="00EF5BC4" w:rsidP="00EF5BC4">
      <w:pPr>
        <w:pStyle w:val="Heading1"/>
      </w:pPr>
      <w:bookmarkStart w:id="6" w:name="O_1226577"/>
      <w:bookmarkEnd w:id="6"/>
      <w:r w:rsidRPr="00EF5BC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F5BC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F5BC4" w:rsidP="00EF5BC4">
            <w:pPr>
              <w:pStyle w:val="BodyText"/>
            </w:pPr>
            <w:r w:rsidRPr="00EF5BC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rPr>
                <w:rStyle w:val="SpecialBold"/>
              </w:rPr>
              <w:t>PERFORMANCE CRITERIA</w:t>
            </w:r>
          </w:p>
        </w:tc>
      </w:tr>
      <w:tr w:rsidTr="00EF5BC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t>Performance criteria describe the performance needed to demonstrate achievement of the element.</w:t>
            </w:r>
          </w:p>
        </w:tc>
      </w:tr>
      <w:tr w:rsidTr="00EF5B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F5BC4" w:rsidP="00EF5BC4">
            <w:pPr>
              <w:pStyle w:val="BodyText"/>
            </w:pPr>
            <w:r w:rsidRPr="00EF5BC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F5BC4" w:rsidP="00EF5BC4">
            <w:pPr>
              <w:pStyle w:val="BodyText"/>
            </w:pPr>
            <w:r w:rsidRPr="00EF5BC4">
              <w:rPr>
                <w:rStyle w:val="SpecialBold"/>
              </w:rPr>
              <w:t>Initiate response to fire</w:t>
            </w:r>
          </w:p>
        </w:tc>
        <w:tc>
          <w:tcPr>
            <w:tcW w:w="697"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t>Fire details are received and initial response is determined, in accordance with organisational procedures</w:t>
            </w:r>
          </w:p>
        </w:tc>
      </w:tr>
      <w:tr w:rsidTr="00EF5B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5B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t>Firefighting personal protective clothing and equipment requirements are determined and used, based on available</w:t>
            </w:r>
            <w:r w:rsidRPr="00EF5BC4">
              <w:t xml:space="preserve"> information</w:t>
            </w:r>
          </w:p>
        </w:tc>
      </w:tr>
      <w:tr w:rsidTr="00EF5B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5B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t>Changes to fire conditions are reported and acted on to determine firefighting tactics</w:t>
            </w:r>
          </w:p>
        </w:tc>
      </w:tr>
      <w:tr w:rsidTr="00EF5B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5B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t xml:space="preserve">Firefighting considerations are taken into account when determining tactics </w:t>
            </w:r>
          </w:p>
        </w:tc>
      </w:tr>
      <w:tr w:rsidTr="00EF5B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F5BC4" w:rsidP="00EF5BC4">
            <w:pPr>
              <w:pStyle w:val="BodyText"/>
            </w:pPr>
            <w:r w:rsidRPr="00EF5BC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F5BC4" w:rsidP="00EF5BC4">
            <w:pPr>
              <w:pStyle w:val="BodyText"/>
            </w:pPr>
            <w:r w:rsidRPr="00EF5BC4">
              <w:rPr>
                <w:rStyle w:val="SpecialBold"/>
              </w:rPr>
              <w:t>Determine extinguishing media and equipment</w:t>
            </w:r>
          </w:p>
        </w:tc>
        <w:tc>
          <w:tcPr>
            <w:tcW w:w="697"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t>Available static or reticulated water supplies to support firefighting operations are identified and capacity is determined</w:t>
            </w:r>
          </w:p>
        </w:tc>
      </w:tr>
      <w:tr w:rsidTr="00EF5B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5B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t>Selection of hose and equipment is sufficient to support firefighting operations</w:t>
            </w:r>
          </w:p>
        </w:tc>
      </w:tr>
      <w:tr w:rsidTr="00EF5B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5B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t>Extinguishing media are selected, in accordance with the type of fire within the area of operation</w:t>
            </w:r>
          </w:p>
        </w:tc>
      </w:tr>
      <w:tr w:rsidTr="00EF5B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5B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t>Breathing apparatus is used within its</w:t>
            </w:r>
            <w:r>
              <w:t>’</w:t>
            </w:r>
            <w:r w:rsidRPr="00EF5BC4">
              <w:t xml:space="preserve"> safe work limitations, in accordance with manufacturers</w:t>
            </w:r>
            <w:r>
              <w:t>’</w:t>
            </w:r>
            <w:r w:rsidRPr="00EF5BC4">
              <w:t xml:space="preserve"> specifications and organisational procedures</w:t>
            </w:r>
          </w:p>
        </w:tc>
      </w:tr>
      <w:tr w:rsidTr="00EF5B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F5BC4" w:rsidP="00EF5BC4">
            <w:pPr>
              <w:pStyle w:val="BodyText"/>
            </w:pPr>
            <w:r w:rsidRPr="00EF5BC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F5BC4" w:rsidP="00EF5BC4">
            <w:pPr>
              <w:pStyle w:val="BodyText"/>
            </w:pPr>
            <w:r w:rsidRPr="00EF5BC4">
              <w:rPr>
                <w:rStyle w:val="SpecialBold"/>
              </w:rPr>
              <w:t>Deter</w:t>
            </w:r>
            <w:r w:rsidRPr="00EF5BC4">
              <w:rPr>
                <w:rStyle w:val="SpecialBold"/>
              </w:rPr>
              <w:t>mine structural fire behaviour</w:t>
            </w:r>
          </w:p>
        </w:tc>
        <w:tc>
          <w:tcPr>
            <w:tcW w:w="697"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t>Combustion processes taking place in the structure are determined</w:t>
            </w:r>
          </w:p>
        </w:tc>
      </w:tr>
      <w:tr w:rsidTr="00EF5B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5B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t>Tactics for terminating combustion processes are determined</w:t>
            </w:r>
          </w:p>
        </w:tc>
      </w:tr>
      <w:tr w:rsidTr="00EF5B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5B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t>Presence of hazardous materials located in the fire area are identified and an appropriate plan of action is determined</w:t>
            </w:r>
          </w:p>
        </w:tc>
      </w:tr>
      <w:tr w:rsidTr="00EF5B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F5BC4" w:rsidP="00EF5BC4">
            <w:pPr>
              <w:pStyle w:val="BodyText"/>
            </w:pPr>
            <w:r w:rsidRPr="00EF5BC4">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EF5BC4" w:rsidP="00EF5BC4">
            <w:pPr>
              <w:pStyle w:val="BodyText"/>
            </w:pPr>
            <w:r w:rsidRPr="00EF5BC4">
              <w:rPr>
                <w:rStyle w:val="SpecialBold"/>
              </w:rPr>
              <w:t>Protect people</w:t>
            </w:r>
          </w:p>
        </w:tc>
        <w:tc>
          <w:tcPr>
            <w:tcW w:w="697"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t>Primary and secondary searches are planned, conducted and supported, in accordance with organisational procedures</w:t>
            </w:r>
          </w:p>
        </w:tc>
      </w:tr>
      <w:tr w:rsidTr="00EF5B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5B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t xml:space="preserve">Appropriate priority and support is allocated to fire </w:t>
            </w:r>
            <w:r w:rsidRPr="00EF5BC4">
              <w:t>rescue and evacuation activities</w:t>
            </w:r>
          </w:p>
        </w:tc>
      </w:tr>
      <w:tr w:rsidTr="00EF5B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5B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t>Casualties are treated and/or handed into the care of medical personnel once clear of threat of fire</w:t>
            </w:r>
          </w:p>
        </w:tc>
      </w:tr>
      <w:tr w:rsidTr="00EF5B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F5BC4" w:rsidP="00EF5BC4">
            <w:pPr>
              <w:pStyle w:val="BodyText"/>
            </w:pPr>
            <w:r w:rsidRPr="00EF5BC4">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EF5BC4" w:rsidP="00EF5BC4">
            <w:pPr>
              <w:pStyle w:val="BodyText"/>
            </w:pPr>
            <w:r w:rsidRPr="00EF5BC4">
              <w:rPr>
                <w:rStyle w:val="SpecialBold"/>
              </w:rPr>
              <w:t>Attack fire</w:t>
            </w:r>
          </w:p>
        </w:tc>
        <w:tc>
          <w:tcPr>
            <w:tcW w:w="697"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t>Firefighting strategies and tactics</w:t>
            </w:r>
            <w:r w:rsidRPr="00EF5BC4">
              <w:t xml:space="preserve"> are prioritised, implemented and monitored, in accordance with organisational procedures</w:t>
            </w:r>
          </w:p>
        </w:tc>
      </w:tr>
      <w:tr w:rsidTr="00EF5B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5B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t>Firefighting extinguishing media are selected, in accordance with the type of fire and the actual or potential hazards identified within the area of operations</w:t>
            </w:r>
          </w:p>
        </w:tc>
      </w:tr>
      <w:tr w:rsidTr="00EF5B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5B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t>Fire is located and access is gained in the safest and most effective manner to minimise damage to property or the risk of injury to others or self, in accordance with organisational procedures</w:t>
            </w:r>
          </w:p>
        </w:tc>
      </w:tr>
      <w:tr w:rsidTr="00EF5B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5B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t>Potential fire behaviour is anticipated and act</w:t>
            </w:r>
            <w:r w:rsidRPr="00EF5BC4">
              <w:t>ion is taken to protect the safety of self and others and to achieve determined strategies</w:t>
            </w:r>
          </w:p>
        </w:tc>
      </w:tr>
      <w:tr w:rsidTr="00EF5B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5B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t>Breathing apparatus procedures are complied with, in accordance with organisational requirements</w:t>
            </w:r>
          </w:p>
        </w:tc>
      </w:tr>
      <w:tr w:rsidTr="00EF5B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5B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t>Fire is attacked using a range of extinguishing media and application techniques appropriate to type and size of fire, in accordance with manufacturers’ specifications and organisational procedures</w:t>
            </w:r>
          </w:p>
        </w:tc>
      </w:tr>
      <w:tr w:rsidTr="00EF5B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5B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rPr>
                <w:rStyle w:val="SpecialBold"/>
              </w:rPr>
              <w:t>5.7</w:t>
            </w:r>
          </w:p>
        </w:tc>
        <w:tc>
          <w:tcPr>
            <w:tcW w:w="5592"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t>Evidence of fire cause is protected and action is t</w:t>
            </w:r>
            <w:r w:rsidRPr="00EF5BC4">
              <w:t>aken, in accordance with organisational procedures</w:t>
            </w:r>
          </w:p>
        </w:tc>
      </w:tr>
      <w:tr w:rsidTr="00EF5B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5B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rPr>
                <w:rStyle w:val="SpecialBold"/>
              </w:rPr>
              <w:t>5.8</w:t>
            </w:r>
          </w:p>
        </w:tc>
        <w:tc>
          <w:tcPr>
            <w:tcW w:w="5592"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t>Firefighting suppression activities, including extinguishing media, are used to contain spread of fire and damage to the environment and property</w:t>
            </w:r>
          </w:p>
        </w:tc>
      </w:tr>
      <w:tr w:rsidTr="00EF5B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5B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rPr>
                <w:rStyle w:val="SpecialBold"/>
              </w:rPr>
              <w:t>5.9</w:t>
            </w:r>
          </w:p>
        </w:tc>
        <w:tc>
          <w:tcPr>
            <w:tcW w:w="5592"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t>Burning and smouldering materials are identif</w:t>
            </w:r>
            <w:r w:rsidRPr="00EF5BC4">
              <w:t>ied and extinguished, in accordance with organisational requirements</w:t>
            </w:r>
          </w:p>
        </w:tc>
      </w:tr>
      <w:tr w:rsidTr="00EF5B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5B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rPr>
                <w:rStyle w:val="SpecialBold"/>
              </w:rPr>
              <w:t>5.10</w:t>
            </w:r>
          </w:p>
        </w:tc>
        <w:tc>
          <w:tcPr>
            <w:tcW w:w="5592"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t>Communication is maintained and monitored throughout firefighting operations, in accordance with organisational procedures</w:t>
            </w:r>
          </w:p>
        </w:tc>
      </w:tr>
      <w:tr w:rsidTr="00EF5B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5B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rPr>
                <w:rStyle w:val="SpecialBold"/>
              </w:rPr>
              <w:t>5.11</w:t>
            </w:r>
          </w:p>
        </w:tc>
        <w:tc>
          <w:tcPr>
            <w:tcW w:w="5592"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t>Firefighting ancillary activities are undertaken to avoid or minimise risk of environmental damage</w:t>
            </w:r>
          </w:p>
        </w:tc>
      </w:tr>
      <w:tr w:rsidTr="00EF5B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F5BC4" w:rsidP="00EF5BC4">
            <w:pPr>
              <w:pStyle w:val="BodyText"/>
            </w:pPr>
            <w:r w:rsidRPr="00EF5BC4">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EF5BC4" w:rsidP="00EF5BC4">
            <w:pPr>
              <w:pStyle w:val="BodyText"/>
            </w:pPr>
            <w:r w:rsidRPr="00EF5BC4">
              <w:rPr>
                <w:rStyle w:val="SpecialBold"/>
              </w:rPr>
              <w:t>Ventilate structure</w:t>
            </w:r>
          </w:p>
        </w:tc>
        <w:tc>
          <w:tcPr>
            <w:tcW w:w="697"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t>Structures are ventilated, as required, using the most appropriate natural and mechanical ventilation techniques, in accordance wi</w:t>
            </w:r>
            <w:r w:rsidRPr="00EF5BC4">
              <w:t>th organisational procedures</w:t>
            </w:r>
          </w:p>
        </w:tc>
      </w:tr>
      <w:tr w:rsidTr="00EF5B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5B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t>Structures are ventilated without endangering personnel or increasing the spread of fire, in accordance with organisational procedures</w:t>
            </w:r>
          </w:p>
        </w:tc>
      </w:tr>
      <w:tr w:rsidTr="00EF5B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F5BC4" w:rsidP="00EF5BC4">
            <w:pPr>
              <w:pStyle w:val="BodyText"/>
            </w:pPr>
            <w:r w:rsidRPr="00EF5BC4">
              <w:rPr>
                <w:rStyle w:val="SpecialBold"/>
              </w:rPr>
              <w:t>7</w:t>
            </w:r>
          </w:p>
        </w:tc>
        <w:tc>
          <w:tcPr>
            <w:tcW w:w="2870" w:type="dxa"/>
            <w:tcBorders>
              <w:top w:val="nil"/>
              <w:left w:val="nil"/>
              <w:bottom w:val="nil"/>
              <w:right w:val="nil"/>
            </w:tcBorders>
            <w:tcMar>
              <w:top w:w="0" w:type="dxa"/>
              <w:left w:w="62" w:type="dxa"/>
              <w:bottom w:w="0" w:type="dxa"/>
              <w:right w:w="62" w:type="dxa"/>
            </w:tcMar>
          </w:tcPr>
          <w:p w:rsidR="00000000" w:rsidRPr="00EF5BC4" w:rsidP="00EF5BC4">
            <w:pPr>
              <w:pStyle w:val="BodyText"/>
            </w:pPr>
            <w:r w:rsidRPr="00EF5BC4">
              <w:rPr>
                <w:rStyle w:val="SpecialBold"/>
              </w:rPr>
              <w:t>Observe and react to fire conditions</w:t>
            </w:r>
          </w:p>
        </w:tc>
        <w:tc>
          <w:tcPr>
            <w:tcW w:w="697"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t>Fire is continually monitored and signifi</w:t>
            </w:r>
            <w:r w:rsidRPr="00EF5BC4">
              <w:t>cant changes affecting the status of the fire and effectiveness of selected firefighting strategies are reported, in accordance with organisational procedures</w:t>
            </w:r>
          </w:p>
        </w:tc>
      </w:tr>
      <w:tr w:rsidTr="00EF5B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5B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t xml:space="preserve">Firefighting strategies and tactics are modified and adjusted, in accordance with organisational procedures, the changing conditions at the fire or as directed </w:t>
            </w:r>
          </w:p>
        </w:tc>
      </w:tr>
      <w:tr w:rsidTr="00EF5B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F5BC4" w:rsidP="00EF5BC4">
            <w:pPr>
              <w:pStyle w:val="BodyText"/>
            </w:pPr>
            <w:r w:rsidRPr="00EF5BC4">
              <w:rPr>
                <w:rStyle w:val="SpecialBold"/>
              </w:rPr>
              <w:t>8</w:t>
            </w:r>
          </w:p>
        </w:tc>
        <w:tc>
          <w:tcPr>
            <w:tcW w:w="2870" w:type="dxa"/>
            <w:tcBorders>
              <w:top w:val="nil"/>
              <w:left w:val="nil"/>
              <w:bottom w:val="nil"/>
              <w:right w:val="nil"/>
            </w:tcBorders>
            <w:tcMar>
              <w:top w:w="0" w:type="dxa"/>
              <w:left w:w="62" w:type="dxa"/>
              <w:bottom w:w="0" w:type="dxa"/>
              <w:right w:w="62" w:type="dxa"/>
            </w:tcMar>
          </w:tcPr>
          <w:p w:rsidR="00000000" w:rsidRPr="00EF5BC4" w:rsidP="00EF5BC4">
            <w:pPr>
              <w:pStyle w:val="BodyText"/>
            </w:pPr>
            <w:r w:rsidRPr="00EF5BC4">
              <w:rPr>
                <w:rStyle w:val="SpecialBold"/>
              </w:rPr>
              <w:t>Undertake ancillary firefighting operations</w:t>
            </w:r>
          </w:p>
        </w:tc>
        <w:tc>
          <w:tcPr>
            <w:tcW w:w="697"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rPr>
                <w:rStyle w:val="SpecialBold"/>
              </w:rPr>
              <w:t>8.1</w:t>
            </w:r>
          </w:p>
        </w:tc>
        <w:tc>
          <w:tcPr>
            <w:tcW w:w="5592"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t>Firefighting and ancillary activities undert</w:t>
            </w:r>
            <w:r w:rsidRPr="00EF5BC4">
              <w:t>aken at the incident ensure that the risk of injury to the public, other personnel and self is avoid or minimised</w:t>
            </w:r>
          </w:p>
        </w:tc>
      </w:tr>
      <w:tr w:rsidTr="00EF5B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5B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rPr>
                <w:rStyle w:val="SpecialBold"/>
              </w:rPr>
              <w:t>8.2</w:t>
            </w:r>
          </w:p>
        </w:tc>
        <w:tc>
          <w:tcPr>
            <w:tcW w:w="5592"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t xml:space="preserve">Salvage and overhaul activities are undertaken to support the conclusion of firefighting operations, in accordance with organisational </w:t>
            </w:r>
            <w:r w:rsidRPr="00EF5BC4">
              <w:t>procedures</w:t>
            </w:r>
          </w:p>
        </w:tc>
      </w:tr>
      <w:tr w:rsidTr="00EF5B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F5BC4" w:rsidP="00EF5BC4">
            <w:pPr>
              <w:pStyle w:val="BodyText"/>
            </w:pPr>
            <w:r w:rsidRPr="00EF5BC4">
              <w:rPr>
                <w:rStyle w:val="SpecialBold"/>
              </w:rPr>
              <w:t>9</w:t>
            </w:r>
          </w:p>
        </w:tc>
        <w:tc>
          <w:tcPr>
            <w:tcW w:w="2870" w:type="dxa"/>
            <w:tcBorders>
              <w:top w:val="nil"/>
              <w:left w:val="nil"/>
              <w:bottom w:val="nil"/>
              <w:right w:val="nil"/>
            </w:tcBorders>
            <w:tcMar>
              <w:top w:w="0" w:type="dxa"/>
              <w:left w:w="62" w:type="dxa"/>
              <w:bottom w:w="0" w:type="dxa"/>
              <w:right w:w="62" w:type="dxa"/>
            </w:tcMar>
          </w:tcPr>
          <w:p w:rsidR="00000000" w:rsidRPr="00EF5BC4" w:rsidP="00EF5BC4">
            <w:pPr>
              <w:pStyle w:val="BodyText"/>
            </w:pPr>
            <w:r w:rsidRPr="00EF5BC4">
              <w:rPr>
                <w:rStyle w:val="SpecialBold"/>
              </w:rPr>
              <w:t>Complete operations</w:t>
            </w:r>
          </w:p>
        </w:tc>
        <w:tc>
          <w:tcPr>
            <w:tcW w:w="697"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rPr>
                <w:rStyle w:val="SpecialBold"/>
              </w:rPr>
              <w:t>9.1</w:t>
            </w:r>
          </w:p>
        </w:tc>
        <w:tc>
          <w:tcPr>
            <w:tcW w:w="5592"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t>Equipment is made ready for operational use, in accordance with organisational procedures</w:t>
            </w:r>
          </w:p>
        </w:tc>
      </w:tr>
      <w:tr w:rsidTr="00EF5B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5B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rPr>
                <w:rStyle w:val="SpecialBold"/>
              </w:rPr>
              <w:t>9.2</w:t>
            </w:r>
          </w:p>
        </w:tc>
        <w:tc>
          <w:tcPr>
            <w:tcW w:w="5592"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t>Damaged or missing equipment is replaced, recorded and/or reported, in accordance with organisational procedures</w:t>
            </w:r>
          </w:p>
        </w:tc>
      </w:tr>
      <w:tr w:rsidTr="00EF5B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5B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rPr>
                <w:rStyle w:val="SpecialBold"/>
              </w:rPr>
              <w:t>9.3</w:t>
            </w:r>
          </w:p>
        </w:tc>
        <w:tc>
          <w:tcPr>
            <w:tcW w:w="5592" w:type="dxa"/>
            <w:tcBorders>
              <w:top w:val="nil"/>
              <w:left w:val="nil"/>
              <w:bottom w:val="nil"/>
              <w:right w:val="nil"/>
            </w:tcBorders>
            <w:tcMar>
              <w:top w:w="0" w:type="dxa"/>
              <w:left w:w="62" w:type="dxa"/>
              <w:bottom w:w="0" w:type="dxa"/>
              <w:right w:w="62" w:type="dxa"/>
            </w:tcMar>
          </w:tcPr>
          <w:p w:rsidR="00000000" w:rsidRPr="00EF5BC4" w:rsidP="00EF5BC4">
            <w:pPr>
              <w:pStyle w:val="BodyText"/>
            </w:pPr>
            <w:r w:rsidRPr="00EF5BC4">
              <w:t>Participate in debriefing sessions</w:t>
            </w:r>
          </w:p>
        </w:tc>
      </w:tr>
    </w:tbl>
    <w:p w:rsidR="00000000" w:rsidRPr="00EF5BC4" w:rsidP="00EF5BC4">
      <w:pPr>
        <w:pStyle w:val="NoPaddingFontSize1"/>
      </w:pPr>
    </w:p>
    <w:p w:rsidR="00000000" w:rsidRPr="00EF5BC4" w:rsidP="00EF5BC4">
      <w:pPr>
        <w:pStyle w:val="AllowPageBreak"/>
      </w:pPr>
    </w:p>
    <w:p w:rsidR="00000000" w:rsidRPr="00EF5BC4" w:rsidP="00EF5BC4">
      <w:pPr>
        <w:pStyle w:val="Heading1"/>
      </w:pPr>
      <w:bookmarkStart w:id="7" w:name="O_1226576"/>
      <w:bookmarkEnd w:id="7"/>
      <w:r w:rsidRPr="00EF5BC4">
        <w:t>Foundation Skills</w:t>
      </w:r>
    </w:p>
    <w:tbl>
      <w:tblPr>
        <w:tblW w:w="9497" w:type="dxa"/>
        <w:tblLayout w:type="fixed"/>
        <w:tblCellMar>
          <w:left w:w="62" w:type="dxa"/>
          <w:right w:w="62" w:type="dxa"/>
        </w:tblCellMar>
        <w:tblLook w:val="0000"/>
      </w:tblPr>
      <w:tblGrid>
        <w:gridCol w:w="9497"/>
      </w:tblGrid>
      <w:tr w:rsidTr="00EF5B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5BC4" w:rsidP="00EF5BC4">
            <w:pPr>
              <w:pStyle w:val="BodyText"/>
            </w:pPr>
            <w:r w:rsidRPr="00EF5BC4">
              <w:t>Foundation skills essential to performance are explicit in the performance criteria of this unit of competency.</w:t>
            </w:r>
          </w:p>
        </w:tc>
      </w:tr>
    </w:tbl>
    <w:p w:rsidR="00000000" w:rsidRPr="00EF5BC4" w:rsidP="00EF5BC4">
      <w:pPr>
        <w:pStyle w:val="NoPaddingFontSize1"/>
      </w:pPr>
    </w:p>
    <w:p w:rsidR="00000000" w:rsidRPr="00EF5BC4" w:rsidP="00EF5BC4">
      <w:pPr>
        <w:pStyle w:val="AllowPageBreak"/>
      </w:pPr>
    </w:p>
    <w:p w:rsidR="00000000" w:rsidRPr="00EF5BC4" w:rsidP="00EF5BC4">
      <w:pPr>
        <w:pStyle w:val="Heading1"/>
      </w:pPr>
      <w:bookmarkStart w:id="8" w:name="O_1226575"/>
      <w:bookmarkEnd w:id="8"/>
      <w:r w:rsidRPr="00EF5BC4">
        <w:t>Range of Conditions</w:t>
      </w:r>
    </w:p>
    <w:tbl>
      <w:tblPr>
        <w:tblW w:w="9497" w:type="dxa"/>
        <w:tblLayout w:type="fixed"/>
        <w:tblCellMar>
          <w:left w:w="62" w:type="dxa"/>
          <w:right w:w="62" w:type="dxa"/>
        </w:tblCellMar>
        <w:tblLook w:val="0000"/>
      </w:tblPr>
      <w:tblGrid>
        <w:gridCol w:w="4693"/>
        <w:gridCol w:w="4804"/>
      </w:tblGrid>
      <w:tr w:rsidTr="00EF5BC4">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EF5BC4" w:rsidP="00EF5BC4">
            <w:pPr>
              <w:pStyle w:val="BodyText"/>
            </w:pPr>
            <w:r w:rsidRPr="00EF5BC4">
              <w:t>Range is restricted to essential operating conditions and any other variables essential to the work environment.</w:t>
            </w:r>
          </w:p>
          <w:p w:rsidR="00000000" w:rsidP="00EF5BC4">
            <w:pPr>
              <w:pStyle w:val="BodyText"/>
              <w:rPr>
                <w:lang w:val="en-NZ"/>
              </w:rPr>
            </w:pPr>
            <w:r w:rsidRPr="00EF5BC4">
              <w:t>Non-essential conditions may be found in the Companion Volume Implementation Guide.</w:t>
            </w:r>
          </w:p>
        </w:tc>
      </w:tr>
      <w:tr w:rsidTr="00EF5BC4">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t>fire must include</w:t>
            </w:r>
          </w:p>
        </w:tc>
        <w:tc>
          <w:tcPr>
            <w:tcW w:w="4804" w:type="dxa"/>
            <w:tcBorders>
              <w:top w:val="nil"/>
              <w:left w:val="nil"/>
              <w:bottom w:val="nil"/>
              <w:right w:val="nil"/>
            </w:tcBorders>
            <w:tcMar>
              <w:top w:w="0" w:type="dxa"/>
              <w:left w:w="62" w:type="dxa"/>
              <w:bottom w:w="0" w:type="dxa"/>
              <w:right w:w="62" w:type="dxa"/>
            </w:tcMar>
          </w:tcPr>
          <w:p w:rsidR="00000000" w:rsidRPr="00EF5BC4" w:rsidP="00EF5BC4">
            <w:pPr>
              <w:pStyle w:val="ListBullet"/>
            </w:pPr>
            <w:r w:rsidRPr="00EF5BC4">
              <w:t>fires involving electricity</w:t>
            </w:r>
          </w:p>
          <w:p w:rsidR="00000000" w:rsidRPr="00EF5BC4" w:rsidP="00EF5BC4">
            <w:pPr>
              <w:pStyle w:val="ListBullet"/>
            </w:pPr>
            <w:r w:rsidRPr="00EF5BC4">
              <w:t>industrial complex</w:t>
            </w:r>
          </w:p>
          <w:p w:rsidR="00000000" w:rsidRPr="00EF5BC4" w:rsidP="00EF5BC4">
            <w:pPr>
              <w:pStyle w:val="ListBullet"/>
            </w:pPr>
            <w:r w:rsidRPr="00EF5BC4">
              <w:t>mobile property fires</w:t>
            </w:r>
          </w:p>
          <w:p w:rsidR="00000000" w:rsidRPr="00EF5BC4" w:rsidP="00EF5BC4">
            <w:pPr>
              <w:pStyle w:val="ListBullet"/>
            </w:pPr>
            <w:r w:rsidRPr="00EF5BC4">
              <w:t>multi-storey structures</w:t>
            </w:r>
          </w:p>
          <w:p w:rsidR="00000000" w:rsidRPr="00EF5BC4" w:rsidP="00EF5BC4">
            <w:pPr>
              <w:pStyle w:val="ListBullet"/>
            </w:pPr>
            <w:r w:rsidRPr="00EF5BC4">
              <w:t>structure and non-structure fires which may also include</w:t>
            </w:r>
          </w:p>
          <w:p w:rsidR="00000000" w:rsidRPr="00EF5BC4" w:rsidP="00EF5BC4">
            <w:pPr>
              <w:pStyle w:val="ListBullet2"/>
            </w:pPr>
            <w:r w:rsidRPr="00EF5BC4">
              <w:t>fires involving fuels and chemicals</w:t>
            </w:r>
          </w:p>
          <w:p w:rsidR="00000000" w:rsidP="00EF5BC4">
            <w:pPr>
              <w:pStyle w:val="ListBullet2"/>
              <w:rPr>
                <w:lang w:val="en-NZ"/>
              </w:rPr>
            </w:pPr>
            <w:r w:rsidRPr="00EF5BC4">
              <w:t>ship fires</w:t>
            </w:r>
          </w:p>
        </w:tc>
      </w:tr>
      <w:tr w:rsidTr="00EF5BC4">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t>personal protective clothing and equipment must include</w:t>
            </w:r>
          </w:p>
        </w:tc>
        <w:tc>
          <w:tcPr>
            <w:tcW w:w="4804" w:type="dxa"/>
            <w:tcBorders>
              <w:top w:val="nil"/>
              <w:left w:val="nil"/>
              <w:bottom w:val="nil"/>
              <w:right w:val="nil"/>
            </w:tcBorders>
            <w:tcMar>
              <w:top w:w="0" w:type="dxa"/>
              <w:left w:w="62" w:type="dxa"/>
              <w:bottom w:w="0" w:type="dxa"/>
              <w:right w:w="62" w:type="dxa"/>
            </w:tcMar>
          </w:tcPr>
          <w:p w:rsidR="00000000" w:rsidRPr="00EF5BC4" w:rsidP="00EF5BC4">
            <w:pPr>
              <w:pStyle w:val="ListBullet"/>
            </w:pPr>
            <w:r w:rsidRPr="00EF5BC4">
              <w:t>breathing apparatus</w:t>
            </w:r>
          </w:p>
          <w:p w:rsidR="00000000" w:rsidRPr="00EF5BC4" w:rsidP="00EF5BC4">
            <w:pPr>
              <w:pStyle w:val="ListBullet"/>
            </w:pPr>
            <w:r w:rsidRPr="00EF5BC4">
              <w:t>distress alarms</w:t>
            </w:r>
          </w:p>
          <w:p w:rsidR="00000000" w:rsidP="00EF5BC4">
            <w:pPr>
              <w:pStyle w:val="ListBullet"/>
              <w:rPr>
                <w:lang w:val="en-NZ"/>
              </w:rPr>
            </w:pPr>
            <w:r w:rsidRPr="00EF5BC4">
              <w:t>structural fire protective clothing</w:t>
            </w:r>
          </w:p>
        </w:tc>
      </w:tr>
      <w:tr w:rsidTr="00EF5BC4">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t>reporting of changes to fire condition must include</w:t>
            </w:r>
          </w:p>
        </w:tc>
        <w:tc>
          <w:tcPr>
            <w:tcW w:w="4804" w:type="dxa"/>
            <w:tcBorders>
              <w:top w:val="nil"/>
              <w:left w:val="nil"/>
              <w:bottom w:val="nil"/>
              <w:right w:val="nil"/>
            </w:tcBorders>
            <w:tcMar>
              <w:top w:w="0" w:type="dxa"/>
              <w:left w:w="62" w:type="dxa"/>
              <w:bottom w:w="0" w:type="dxa"/>
              <w:right w:w="62" w:type="dxa"/>
            </w:tcMar>
          </w:tcPr>
          <w:p w:rsidR="00000000" w:rsidRPr="00EF5BC4" w:rsidP="00EF5BC4">
            <w:pPr>
              <w:pStyle w:val="ListBullet"/>
            </w:pPr>
            <w:r w:rsidRPr="00EF5BC4">
              <w:t>initial reports at scene</w:t>
            </w:r>
          </w:p>
          <w:p w:rsidR="00000000" w:rsidRPr="00EF5BC4" w:rsidP="00EF5BC4">
            <w:pPr>
              <w:pStyle w:val="ListBullet"/>
            </w:pPr>
            <w:r w:rsidRPr="00EF5BC4">
              <w:t>reports of achievement during firefighting e.g. completion of rescue and fire under control etc.</w:t>
            </w:r>
          </w:p>
          <w:p w:rsidR="00000000" w:rsidRPr="00EF5BC4" w:rsidP="00EF5BC4">
            <w:pPr>
              <w:pStyle w:val="ListBullet"/>
            </w:pPr>
            <w:r w:rsidRPr="00EF5BC4">
              <w:t>reports of significant changes in conditions</w:t>
            </w:r>
          </w:p>
          <w:p w:rsidR="00000000" w:rsidP="00EF5BC4">
            <w:pPr>
              <w:pStyle w:val="ListBullet"/>
              <w:rPr>
                <w:lang w:val="en-NZ"/>
              </w:rPr>
            </w:pPr>
            <w:r w:rsidRPr="00EF5BC4">
              <w:t>Situation Reports (SITREPS)</w:t>
            </w:r>
          </w:p>
        </w:tc>
      </w:tr>
      <w:tr w:rsidTr="00EF5BC4">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t>equipment must include</w:t>
            </w:r>
          </w:p>
        </w:tc>
        <w:tc>
          <w:tcPr>
            <w:tcW w:w="4804" w:type="dxa"/>
            <w:tcBorders>
              <w:top w:val="nil"/>
              <w:left w:val="nil"/>
              <w:bottom w:val="nil"/>
              <w:right w:val="nil"/>
            </w:tcBorders>
            <w:tcMar>
              <w:top w:w="0" w:type="dxa"/>
              <w:left w:w="62" w:type="dxa"/>
              <w:bottom w:w="0" w:type="dxa"/>
              <w:right w:w="62" w:type="dxa"/>
            </w:tcMar>
          </w:tcPr>
          <w:p w:rsidR="00000000" w:rsidRPr="00EF5BC4" w:rsidP="00EF5BC4">
            <w:pPr>
              <w:pStyle w:val="ListBullet"/>
            </w:pPr>
            <w:r w:rsidRPr="00EF5BC4">
              <w:t xml:space="preserve">branches/nozzles </w:t>
            </w:r>
          </w:p>
          <w:p w:rsidR="00000000" w:rsidRPr="00EF5BC4" w:rsidP="00EF5BC4">
            <w:pPr>
              <w:pStyle w:val="ListBullet"/>
            </w:pPr>
            <w:r w:rsidRPr="00EF5BC4">
              <w:t>breathing apparatus and control equipment</w:t>
            </w:r>
          </w:p>
          <w:p w:rsidR="00000000" w:rsidRPr="00EF5BC4" w:rsidP="00EF5BC4">
            <w:pPr>
              <w:pStyle w:val="ListBullet"/>
            </w:pPr>
            <w:r w:rsidRPr="00EF5BC4">
              <w:t>fire extinguishers</w:t>
            </w:r>
          </w:p>
          <w:p w:rsidR="00000000" w:rsidRPr="00EF5BC4" w:rsidP="00EF5BC4">
            <w:pPr>
              <w:pStyle w:val="ListBullet"/>
            </w:pPr>
            <w:r w:rsidRPr="00EF5BC4">
              <w:t>forcible entry tools</w:t>
            </w:r>
          </w:p>
          <w:p w:rsidR="00000000" w:rsidRPr="00EF5BC4" w:rsidP="00EF5BC4">
            <w:pPr>
              <w:pStyle w:val="ListBullet"/>
            </w:pPr>
            <w:r w:rsidRPr="00EF5BC4">
              <w:t>hand tools</w:t>
            </w:r>
          </w:p>
          <w:p w:rsidR="00000000" w:rsidRPr="00EF5BC4" w:rsidP="00EF5BC4">
            <w:pPr>
              <w:pStyle w:val="ListBullet"/>
            </w:pPr>
            <w:r w:rsidRPr="00EF5BC4">
              <w:t>hoses and hose fittings</w:t>
            </w:r>
          </w:p>
          <w:p w:rsidR="00000000" w:rsidRPr="00EF5BC4" w:rsidP="00EF5BC4">
            <w:pPr>
              <w:pStyle w:val="ListBullet"/>
            </w:pPr>
            <w:r w:rsidRPr="00EF5BC4">
              <w:t>ladders and rope lines</w:t>
            </w:r>
          </w:p>
          <w:p w:rsidR="00000000" w:rsidRPr="00EF5BC4" w:rsidP="00EF5BC4">
            <w:pPr>
              <w:pStyle w:val="ListBullet"/>
            </w:pPr>
            <w:r w:rsidRPr="00EF5BC4">
              <w:t>portable lighting</w:t>
            </w:r>
          </w:p>
          <w:p w:rsidR="00000000" w:rsidRPr="00EF5BC4" w:rsidP="00EF5BC4">
            <w:pPr>
              <w:pStyle w:val="ListBullet"/>
            </w:pPr>
            <w:r w:rsidRPr="00EF5BC4">
              <w:t>radios</w:t>
            </w:r>
          </w:p>
          <w:p w:rsidR="00000000" w:rsidRPr="00EF5BC4" w:rsidP="00EF5BC4">
            <w:pPr>
              <w:pStyle w:val="ListBullet"/>
            </w:pPr>
            <w:r w:rsidRPr="00EF5BC4">
              <w:t>salvage gear</w:t>
            </w:r>
          </w:p>
          <w:p w:rsidR="00000000" w:rsidRPr="00EF5BC4" w:rsidP="00EF5BC4">
            <w:pPr>
              <w:pStyle w:val="ListBullet"/>
            </w:pPr>
            <w:r w:rsidRPr="00EF5BC4">
              <w:t>small gear and ancillary equipment</w:t>
            </w:r>
          </w:p>
          <w:p w:rsidR="00000000" w:rsidRPr="00EF5BC4" w:rsidP="00EF5BC4">
            <w:pPr>
              <w:pStyle w:val="ListBullet"/>
            </w:pPr>
            <w:r w:rsidRPr="00EF5BC4">
              <w:t>stand pipes, hydrants and booster connections</w:t>
            </w:r>
          </w:p>
          <w:p w:rsidR="00000000" w:rsidP="00EF5BC4">
            <w:pPr>
              <w:pStyle w:val="ListBullet"/>
              <w:rPr>
                <w:lang w:val="en-NZ"/>
              </w:rPr>
            </w:pPr>
            <w:r w:rsidRPr="00EF5BC4">
              <w:t>ventilation equipment</w:t>
            </w:r>
          </w:p>
        </w:tc>
      </w:tr>
      <w:tr w:rsidTr="00EF5BC4">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t>extinguishing media must include</w:t>
            </w:r>
          </w:p>
        </w:tc>
        <w:tc>
          <w:tcPr>
            <w:tcW w:w="4804" w:type="dxa"/>
            <w:tcBorders>
              <w:top w:val="nil"/>
              <w:left w:val="nil"/>
              <w:bottom w:val="nil"/>
              <w:right w:val="nil"/>
            </w:tcBorders>
            <w:tcMar>
              <w:top w:w="0" w:type="dxa"/>
              <w:left w:w="62" w:type="dxa"/>
              <w:bottom w:w="0" w:type="dxa"/>
              <w:right w:w="62" w:type="dxa"/>
            </w:tcMar>
          </w:tcPr>
          <w:p w:rsidR="00000000" w:rsidRPr="00EF5BC4" w:rsidP="00EF5BC4">
            <w:pPr>
              <w:pStyle w:val="ListBullet"/>
            </w:pPr>
            <w:r w:rsidRPr="00EF5BC4">
              <w:t>extinguishing powders</w:t>
            </w:r>
          </w:p>
          <w:p w:rsidR="00000000" w:rsidRPr="00EF5BC4" w:rsidP="00EF5BC4">
            <w:pPr>
              <w:pStyle w:val="ListBullet"/>
            </w:pPr>
            <w:r w:rsidRPr="00EF5BC4">
              <w:t>foams</w:t>
            </w:r>
          </w:p>
          <w:p w:rsidR="00000000" w:rsidRPr="00EF5BC4" w:rsidP="00EF5BC4">
            <w:pPr>
              <w:pStyle w:val="ListBullet"/>
            </w:pPr>
            <w:r w:rsidRPr="00EF5BC4">
              <w:t>gaseous extinguishing agents</w:t>
            </w:r>
          </w:p>
          <w:p w:rsidR="00000000" w:rsidP="00EF5BC4">
            <w:pPr>
              <w:pStyle w:val="ListBullet"/>
              <w:rPr>
                <w:lang w:val="en-NZ"/>
              </w:rPr>
            </w:pPr>
            <w:r w:rsidRPr="00EF5BC4">
              <w:t>water</w:t>
            </w:r>
          </w:p>
        </w:tc>
      </w:tr>
      <w:tr w:rsidTr="00EF5BC4">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t>firefighting strategies must include</w:t>
            </w:r>
          </w:p>
        </w:tc>
        <w:tc>
          <w:tcPr>
            <w:tcW w:w="4804" w:type="dxa"/>
            <w:tcBorders>
              <w:top w:val="nil"/>
              <w:left w:val="nil"/>
              <w:bottom w:val="nil"/>
              <w:right w:val="nil"/>
            </w:tcBorders>
            <w:tcMar>
              <w:top w:w="0" w:type="dxa"/>
              <w:left w:w="62" w:type="dxa"/>
              <w:bottom w:w="0" w:type="dxa"/>
              <w:right w:w="62" w:type="dxa"/>
            </w:tcMar>
          </w:tcPr>
          <w:p w:rsidR="00000000" w:rsidRPr="00EF5BC4" w:rsidP="00EF5BC4">
            <w:pPr>
              <w:pStyle w:val="ListBullet"/>
            </w:pPr>
            <w:r w:rsidRPr="00EF5BC4">
              <w:t>confining the spread of fire</w:t>
            </w:r>
          </w:p>
          <w:p w:rsidR="00000000" w:rsidRPr="00EF5BC4" w:rsidP="00EF5BC4">
            <w:pPr>
              <w:pStyle w:val="ListBullet"/>
            </w:pPr>
            <w:r w:rsidRPr="00EF5BC4">
              <w:t>extinguishment</w:t>
            </w:r>
          </w:p>
          <w:p w:rsidR="00000000" w:rsidRPr="00EF5BC4" w:rsidP="00EF5BC4">
            <w:pPr>
              <w:pStyle w:val="ListBullet"/>
            </w:pPr>
            <w:r w:rsidRPr="00EF5BC4">
              <w:t>protecting exposures</w:t>
            </w:r>
          </w:p>
          <w:p w:rsidR="00000000" w:rsidRPr="00EF5BC4" w:rsidP="00EF5BC4">
            <w:pPr>
              <w:pStyle w:val="ListBullet"/>
            </w:pPr>
            <w:r w:rsidRPr="00EF5BC4">
              <w:t>protection of area of fire origin and evidence of cause</w:t>
            </w:r>
          </w:p>
          <w:p w:rsidR="00000000" w:rsidRPr="00EF5BC4" w:rsidP="00EF5BC4">
            <w:pPr>
              <w:pStyle w:val="ListBullet"/>
            </w:pPr>
            <w:r w:rsidRPr="00EF5BC4">
              <w:t>rescuing occupants</w:t>
            </w:r>
          </w:p>
          <w:p w:rsidR="00000000" w:rsidP="00EF5BC4">
            <w:pPr>
              <w:pStyle w:val="ListBullet"/>
              <w:rPr>
                <w:lang w:val="en-NZ"/>
              </w:rPr>
            </w:pPr>
            <w:r w:rsidRPr="00EF5BC4">
              <w:t>salvage and overhaul</w:t>
            </w:r>
          </w:p>
        </w:tc>
      </w:tr>
      <w:tr w:rsidTr="00EF5BC4">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t>access must include</w:t>
            </w:r>
          </w:p>
        </w:tc>
        <w:tc>
          <w:tcPr>
            <w:tcW w:w="4804" w:type="dxa"/>
            <w:tcBorders>
              <w:top w:val="nil"/>
              <w:left w:val="nil"/>
              <w:bottom w:val="nil"/>
              <w:right w:val="nil"/>
            </w:tcBorders>
            <w:tcMar>
              <w:top w:w="0" w:type="dxa"/>
              <w:left w:w="62" w:type="dxa"/>
              <w:bottom w:w="0" w:type="dxa"/>
              <w:right w:w="62" w:type="dxa"/>
            </w:tcMar>
          </w:tcPr>
          <w:p w:rsidR="00000000" w:rsidRPr="00EF5BC4" w:rsidP="00EF5BC4">
            <w:pPr>
              <w:pStyle w:val="ListBullet"/>
            </w:pPr>
            <w:r w:rsidRPr="00EF5BC4">
              <w:t>forcible entry</w:t>
            </w:r>
          </w:p>
          <w:p w:rsidR="00000000" w:rsidRPr="00EF5BC4" w:rsidP="00EF5BC4">
            <w:pPr>
              <w:pStyle w:val="ListBullet"/>
            </w:pPr>
            <w:r w:rsidRPr="00EF5BC4">
              <w:t>normal entry</w:t>
            </w:r>
          </w:p>
          <w:p w:rsidR="00000000" w:rsidP="00EF5BC4">
            <w:pPr>
              <w:pStyle w:val="ListBullet"/>
              <w:rPr>
                <w:lang w:val="en-NZ"/>
              </w:rPr>
            </w:pPr>
            <w:r w:rsidRPr="00EF5BC4">
              <w:t>roof ac</w:t>
            </w:r>
            <w:r w:rsidRPr="00EF5BC4">
              <w:t>cess from ladders and/or aerial appliance</w:t>
            </w:r>
          </w:p>
        </w:tc>
      </w:tr>
      <w:tr w:rsidTr="00EF5BC4">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t>application techniques must include</w:t>
            </w:r>
          </w:p>
        </w:tc>
        <w:tc>
          <w:tcPr>
            <w:tcW w:w="4804" w:type="dxa"/>
            <w:tcBorders>
              <w:top w:val="nil"/>
              <w:left w:val="nil"/>
              <w:bottom w:val="nil"/>
              <w:right w:val="nil"/>
            </w:tcBorders>
            <w:tcMar>
              <w:top w:w="0" w:type="dxa"/>
              <w:left w:w="62" w:type="dxa"/>
              <w:bottom w:w="0" w:type="dxa"/>
              <w:right w:w="62" w:type="dxa"/>
            </w:tcMar>
          </w:tcPr>
          <w:p w:rsidR="00000000" w:rsidRPr="00EF5BC4" w:rsidP="00EF5BC4">
            <w:pPr>
              <w:pStyle w:val="ListBullet"/>
            </w:pPr>
            <w:r w:rsidRPr="00EF5BC4">
              <w:t>defensive mode</w:t>
            </w:r>
          </w:p>
          <w:p w:rsidR="00000000" w:rsidRPr="00EF5BC4" w:rsidP="00EF5BC4">
            <w:pPr>
              <w:pStyle w:val="ListBullet"/>
            </w:pPr>
            <w:r w:rsidRPr="00EF5BC4">
              <w:t>direct attack</w:t>
            </w:r>
          </w:p>
          <w:p w:rsidR="00000000" w:rsidRPr="00EF5BC4" w:rsidP="00EF5BC4">
            <w:pPr>
              <w:pStyle w:val="ListBullet"/>
            </w:pPr>
            <w:r w:rsidRPr="00EF5BC4">
              <w:t>direction of attack</w:t>
            </w:r>
          </w:p>
          <w:p w:rsidR="00000000" w:rsidRPr="00EF5BC4" w:rsidP="00EF5BC4">
            <w:pPr>
              <w:pStyle w:val="ListBullet"/>
            </w:pPr>
            <w:r w:rsidRPr="00EF5BC4">
              <w:t>indirect attack</w:t>
            </w:r>
          </w:p>
          <w:p w:rsidR="00000000" w:rsidP="00EF5BC4">
            <w:pPr>
              <w:pStyle w:val="ListBullet"/>
              <w:rPr>
                <w:lang w:val="en-NZ"/>
              </w:rPr>
            </w:pPr>
            <w:r w:rsidRPr="00EF5BC4">
              <w:t>offensive mode</w:t>
            </w:r>
          </w:p>
        </w:tc>
      </w:tr>
      <w:tr w:rsidTr="00EF5BC4">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t>ancillary activities must include three or more of the following</w:t>
            </w:r>
          </w:p>
        </w:tc>
        <w:tc>
          <w:tcPr>
            <w:tcW w:w="4804" w:type="dxa"/>
            <w:tcBorders>
              <w:top w:val="nil"/>
              <w:left w:val="nil"/>
              <w:bottom w:val="nil"/>
              <w:right w:val="nil"/>
            </w:tcBorders>
            <w:tcMar>
              <w:top w:w="0" w:type="dxa"/>
              <w:left w:w="62" w:type="dxa"/>
              <w:bottom w:w="0" w:type="dxa"/>
              <w:right w:w="62" w:type="dxa"/>
            </w:tcMar>
          </w:tcPr>
          <w:p w:rsidR="00000000" w:rsidRPr="00EF5BC4" w:rsidP="00EF5BC4">
            <w:pPr>
              <w:pStyle w:val="ListBullet"/>
            </w:pPr>
            <w:r w:rsidRPr="00EF5BC4">
              <w:t>damming and/or draining water runoff</w:t>
            </w:r>
          </w:p>
          <w:p w:rsidR="00000000" w:rsidRPr="00EF5BC4" w:rsidP="00EF5BC4">
            <w:pPr>
              <w:pStyle w:val="ListBullet"/>
            </w:pPr>
            <w:r w:rsidRPr="00EF5BC4">
              <w:t>guarding against hazards</w:t>
            </w:r>
          </w:p>
          <w:p w:rsidR="00000000" w:rsidRPr="00EF5BC4" w:rsidP="00EF5BC4">
            <w:pPr>
              <w:pStyle w:val="ListBullet"/>
            </w:pPr>
            <w:r w:rsidRPr="00EF5BC4">
              <w:t>making up equipment</w:t>
            </w:r>
          </w:p>
          <w:p w:rsidR="00000000" w:rsidRPr="00EF5BC4" w:rsidP="00EF5BC4">
            <w:pPr>
              <w:pStyle w:val="ListBullet"/>
            </w:pPr>
            <w:r w:rsidRPr="00EF5BC4">
              <w:t>overhaul</w:t>
            </w:r>
          </w:p>
          <w:p w:rsidR="00000000" w:rsidRPr="00EF5BC4" w:rsidP="00EF5BC4">
            <w:pPr>
              <w:pStyle w:val="ListBullet"/>
            </w:pPr>
            <w:r w:rsidRPr="00EF5BC4">
              <w:t>protecting the ignition site</w:t>
            </w:r>
          </w:p>
          <w:p w:rsidR="00000000" w:rsidRPr="00EF5BC4" w:rsidP="00EF5BC4">
            <w:pPr>
              <w:pStyle w:val="ListBullet"/>
            </w:pPr>
            <w:r w:rsidRPr="00EF5BC4">
              <w:t xml:space="preserve"> salvage</w:t>
            </w:r>
          </w:p>
          <w:p w:rsidR="00000000" w:rsidRPr="00EF5BC4" w:rsidP="00EF5BC4">
            <w:pPr>
              <w:pStyle w:val="ListBullet"/>
            </w:pPr>
            <w:r w:rsidRPr="00EF5BC4">
              <w:t>securing the area</w:t>
            </w:r>
          </w:p>
          <w:p w:rsidR="00000000" w:rsidP="00EF5BC4">
            <w:pPr>
              <w:pStyle w:val="ListBullet"/>
              <w:rPr>
                <w:lang w:val="en-NZ"/>
              </w:rPr>
            </w:pPr>
            <w:r w:rsidRPr="00EF5BC4">
              <w:t>supply of materials</w:t>
            </w:r>
          </w:p>
        </w:tc>
      </w:tr>
      <w:tr w:rsidTr="00EF5BC4">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EF5BC4">
            <w:pPr>
              <w:pStyle w:val="BodyText"/>
              <w:rPr>
                <w:lang w:val="en-NZ"/>
              </w:rPr>
            </w:pPr>
            <w:r w:rsidRPr="00EF5BC4">
              <w:t>structures to be ventilated must include</w:t>
            </w:r>
          </w:p>
        </w:tc>
        <w:tc>
          <w:tcPr>
            <w:tcW w:w="4804" w:type="dxa"/>
            <w:tcBorders>
              <w:top w:val="nil"/>
              <w:left w:val="nil"/>
              <w:bottom w:val="nil"/>
              <w:right w:val="nil"/>
            </w:tcBorders>
            <w:tcMar>
              <w:top w:w="0" w:type="dxa"/>
              <w:left w:w="62" w:type="dxa"/>
              <w:bottom w:w="0" w:type="dxa"/>
              <w:right w:w="62" w:type="dxa"/>
            </w:tcMar>
          </w:tcPr>
          <w:p w:rsidR="00000000" w:rsidRPr="00EF5BC4" w:rsidP="00EF5BC4">
            <w:pPr>
              <w:pStyle w:val="ListBullet"/>
            </w:pPr>
            <w:r w:rsidRPr="00EF5BC4">
              <w:t>commercial</w:t>
            </w:r>
          </w:p>
          <w:p w:rsidR="00000000" w:rsidRPr="00EF5BC4" w:rsidP="00EF5BC4">
            <w:pPr>
              <w:pStyle w:val="ListBullet"/>
            </w:pPr>
            <w:r w:rsidRPr="00EF5BC4">
              <w:t>high rise buildings</w:t>
            </w:r>
          </w:p>
          <w:p w:rsidR="00000000" w:rsidRPr="00EF5BC4" w:rsidP="00EF5BC4">
            <w:pPr>
              <w:pStyle w:val="ListBullet"/>
            </w:pPr>
            <w:r w:rsidRPr="00EF5BC4">
              <w:t>mobile structures i.e. road, rail, aviation and marine vehicles</w:t>
            </w:r>
          </w:p>
          <w:p w:rsidR="00000000" w:rsidRPr="00EF5BC4" w:rsidP="00EF5BC4">
            <w:pPr>
              <w:pStyle w:val="ListBullet"/>
            </w:pPr>
            <w:r w:rsidRPr="00EF5BC4">
              <w:t>multi-storey</w:t>
            </w:r>
          </w:p>
          <w:p w:rsidR="00000000" w:rsidRPr="00EF5BC4" w:rsidP="00EF5BC4">
            <w:pPr>
              <w:pStyle w:val="ListBullet"/>
            </w:pPr>
            <w:r w:rsidRPr="00EF5BC4">
              <w:t>residential</w:t>
            </w:r>
          </w:p>
        </w:tc>
      </w:tr>
    </w:tbl>
    <w:p w:rsidR="00000000" w:rsidRPr="00EF5BC4" w:rsidP="00EF5BC4">
      <w:pPr>
        <w:pStyle w:val="NoPaddingFontSize1"/>
      </w:pPr>
    </w:p>
    <w:p w:rsidR="00000000" w:rsidRPr="00EF5BC4" w:rsidP="00EF5BC4">
      <w:pPr>
        <w:pStyle w:val="AllowPageBreak"/>
      </w:pPr>
    </w:p>
    <w:p w:rsidR="00000000" w:rsidRPr="00EF5BC4" w:rsidP="00EF5BC4">
      <w:pPr>
        <w:pStyle w:val="Heading1"/>
      </w:pPr>
      <w:bookmarkStart w:id="9" w:name="O_1226574"/>
      <w:bookmarkEnd w:id="9"/>
      <w:r w:rsidRPr="00EF5BC4">
        <w:t>Unit Mapping Information</w:t>
      </w:r>
    </w:p>
    <w:tbl>
      <w:tblPr>
        <w:tblW w:w="9497" w:type="dxa"/>
        <w:tblLayout w:type="fixed"/>
        <w:tblCellMar>
          <w:left w:w="62" w:type="dxa"/>
          <w:right w:w="62" w:type="dxa"/>
        </w:tblCellMar>
        <w:tblLook w:val="0000"/>
      </w:tblPr>
      <w:tblGrid>
        <w:gridCol w:w="9497"/>
      </w:tblGrid>
      <w:tr w:rsidTr="00EF5B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5BC4" w:rsidP="00EF5BC4">
            <w:pPr>
              <w:pStyle w:val="BodyText"/>
            </w:pPr>
            <w:r w:rsidRPr="00EF5BC4">
              <w:t>This unit replaces and is equivalent to PUAFIR302B Suppress urban fire.</w:t>
            </w:r>
          </w:p>
        </w:tc>
      </w:tr>
    </w:tbl>
    <w:p w:rsidR="00000000" w:rsidRPr="00EF5BC4" w:rsidP="00EF5BC4">
      <w:pPr>
        <w:pStyle w:val="NoPaddingFontSize1"/>
      </w:pPr>
    </w:p>
    <w:p w:rsidR="00000000" w:rsidRPr="00EF5BC4" w:rsidP="00EF5BC4">
      <w:pPr>
        <w:pStyle w:val="AllowPageBreak"/>
      </w:pPr>
    </w:p>
    <w:p w:rsidR="00000000" w:rsidRPr="00EF5BC4" w:rsidP="00EF5BC4">
      <w:pPr>
        <w:pStyle w:val="Heading1"/>
      </w:pPr>
      <w:bookmarkStart w:id="10" w:name="O_1226583"/>
      <w:bookmarkEnd w:id="10"/>
      <w:r w:rsidRPr="00EF5BC4">
        <w:t>Links</w:t>
      </w:r>
    </w:p>
    <w:p w:rsidR="00000000" w:rsidRPr="00EF5BC4" w:rsidP="004856B2">
      <w:pPr>
        <w:pStyle w:val="BodyText"/>
      </w:pPr>
      <w:r w:rsidRPr="00EF5BC4">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2E4B26">
        <w:rPr>
          <w:rStyle w:val="Hyperlink"/>
        </w:rPr>
        <w:t>https://vetnet.gov.au/Pages/TrainingDocs.aspx?q=3eca5672-6d5a-410b-8942-810d0ba05bbf</w:t>
      </w:r>
      <w:r>
        <w:fldChar w:fldCharType="end"/>
      </w:r>
    </w:p>
    <w:p w:rsidR="00000000" w:rsidRPr="00EF5BC4" w:rsidP="00EF5BC4"/>
    <w:sectPr w:rsidSect="00EF5BC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B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BC4" w:rsidRPr="004856B2" w:rsidP="004856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B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6B2" w:rsidP="00EF5B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856B2" w:rsidP="00EF5BC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856B2" w:rsidP="00EF5B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B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6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5BC4" w:rsidRPr="004856B2" w:rsidP="004856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B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6B2" w:rsidRPr="002D2AF8" w:rsidP="00EF5BC4">
    <w:pPr>
      <w:pStyle w:val="Header"/>
      <w:framePr w:wrap="around"/>
    </w:pPr>
    <w:r>
      <w:fldChar w:fldCharType="begin"/>
    </w:r>
    <w:r>
      <w:instrText xml:space="preserve"> TITLE   \* MERGEFORMAT </w:instrText>
    </w:r>
    <w:r>
      <w:fldChar w:fldCharType="separate"/>
    </w:r>
    <w:r>
      <w:t>PUAFIR302 Suppress urban fire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4856B2" w:rsidP="00EF5B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3627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A283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C633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5B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5BC4"/>
    <w:pPr>
      <w:spacing w:before="360" w:after="60"/>
      <w:outlineLvl w:val="0"/>
    </w:pPr>
    <w:rPr>
      <w:sz w:val="32"/>
    </w:rPr>
  </w:style>
  <w:style w:type="paragraph" w:styleId="Heading2">
    <w:name w:val="heading 2"/>
    <w:basedOn w:val="HeadingBase"/>
    <w:next w:val="BodyText"/>
    <w:link w:val="Heading2Char"/>
    <w:qFormat/>
    <w:rsid w:val="00EF5BC4"/>
    <w:pPr>
      <w:keepLines/>
      <w:spacing w:before="240" w:after="120"/>
      <w:outlineLvl w:val="1"/>
    </w:pPr>
    <w:rPr>
      <w:sz w:val="28"/>
      <w:szCs w:val="40"/>
    </w:rPr>
  </w:style>
  <w:style w:type="paragraph" w:styleId="Heading3">
    <w:name w:val="heading 3"/>
    <w:basedOn w:val="HeadingBase"/>
    <w:next w:val="BodyText"/>
    <w:link w:val="Heading3Char"/>
    <w:qFormat/>
    <w:rsid w:val="00EF5BC4"/>
    <w:pPr>
      <w:spacing w:before="180" w:after="120"/>
      <w:outlineLvl w:val="2"/>
    </w:pPr>
    <w:rPr>
      <w:spacing w:val="-10"/>
      <w:kern w:val="32"/>
    </w:rPr>
  </w:style>
  <w:style w:type="paragraph" w:styleId="Heading4">
    <w:name w:val="heading 4"/>
    <w:basedOn w:val="HeadingBase"/>
    <w:next w:val="BodyText"/>
    <w:link w:val="Heading4Char"/>
    <w:qFormat/>
    <w:rsid w:val="00EF5BC4"/>
    <w:pPr>
      <w:spacing w:before="160" w:after="120"/>
      <w:outlineLvl w:val="3"/>
    </w:pPr>
    <w:rPr>
      <w:sz w:val="22"/>
    </w:rPr>
  </w:style>
  <w:style w:type="paragraph" w:styleId="Heading5">
    <w:name w:val="heading 5"/>
    <w:basedOn w:val="HeadingBase"/>
    <w:next w:val="Normal"/>
    <w:link w:val="Heading5Char"/>
    <w:qFormat/>
    <w:rsid w:val="00EF5BC4"/>
    <w:pPr>
      <w:spacing w:before="80"/>
      <w:outlineLvl w:val="4"/>
    </w:pPr>
    <w:rPr>
      <w:color w:val="918585"/>
      <w:sz w:val="20"/>
    </w:rPr>
  </w:style>
  <w:style w:type="paragraph" w:styleId="Heading6">
    <w:name w:val="heading 6"/>
    <w:basedOn w:val="HeadingBase"/>
    <w:next w:val="Normal"/>
    <w:link w:val="Heading6Char"/>
    <w:qFormat/>
    <w:rsid w:val="00EF5BC4"/>
    <w:pPr>
      <w:spacing w:before="60"/>
      <w:outlineLvl w:val="5"/>
    </w:pPr>
    <w:rPr>
      <w:color w:val="918585"/>
      <w:sz w:val="20"/>
    </w:rPr>
  </w:style>
  <w:style w:type="paragraph" w:styleId="Heading7">
    <w:name w:val="heading 7"/>
    <w:basedOn w:val="Normal"/>
    <w:next w:val="Normal"/>
    <w:link w:val="Heading7Char"/>
    <w:qFormat/>
    <w:rsid w:val="00EF5BC4"/>
    <w:pPr>
      <w:ind w:left="720"/>
      <w:outlineLvl w:val="6"/>
    </w:pPr>
    <w:rPr>
      <w:i/>
    </w:rPr>
  </w:style>
  <w:style w:type="paragraph" w:styleId="Heading8">
    <w:name w:val="heading 8"/>
    <w:basedOn w:val="Normal"/>
    <w:next w:val="Normal"/>
    <w:link w:val="Heading8Char"/>
    <w:qFormat/>
    <w:rsid w:val="00EF5BC4"/>
    <w:pPr>
      <w:ind w:left="720"/>
      <w:outlineLvl w:val="7"/>
    </w:pPr>
    <w:rPr>
      <w:i/>
    </w:rPr>
  </w:style>
  <w:style w:type="paragraph" w:styleId="Heading9">
    <w:name w:val="heading 9"/>
    <w:basedOn w:val="Normal"/>
    <w:next w:val="Normal"/>
    <w:link w:val="Heading9Char"/>
    <w:qFormat/>
    <w:rsid w:val="00EF5BC4"/>
    <w:pPr>
      <w:ind w:left="720"/>
      <w:outlineLvl w:val="8"/>
    </w:pPr>
    <w:rPr>
      <w:i/>
    </w:rPr>
  </w:style>
  <w:style w:type="character" w:default="1" w:styleId="DefaultParagraphFont">
    <w:name w:val="Default Paragraph Font"/>
    <w:uiPriority w:val="1"/>
    <w:unhideWhenUsed/>
    <w:rsid w:val="00EF5B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5BC4"/>
  </w:style>
  <w:style w:type="character" w:customStyle="1" w:styleId="Heading1Char">
    <w:name w:val="Heading 1 Char"/>
    <w:basedOn w:val="DefaultParagraphFont"/>
    <w:link w:val="Heading1"/>
    <w:rsid w:val="00EF5BC4"/>
    <w:rPr>
      <w:rFonts w:ascii="Times New Roman" w:eastAsia="Times New Roman" w:hAnsi="Times New Roman" w:cs="Times New Roman"/>
      <w:b/>
      <w:sz w:val="32"/>
      <w:szCs w:val="20"/>
      <w:lang w:eastAsia="en-US"/>
    </w:rPr>
  </w:style>
  <w:style w:type="paragraph" w:styleId="BodyText">
    <w:name w:val="Body Text"/>
    <w:basedOn w:val="Normal"/>
    <w:link w:val="BodyTextChar"/>
    <w:rsid w:val="00EF5B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5BC4"/>
    <w:rPr>
      <w:rFonts w:ascii="Times New Roman" w:eastAsia="Times New Roman" w:hAnsi="Times New Roman" w:cs="Times New Roman"/>
      <w:sz w:val="24"/>
      <w:lang w:eastAsia="en-US"/>
    </w:rPr>
  </w:style>
  <w:style w:type="paragraph" w:styleId="ListBullet">
    <w:name w:val="List Bullet"/>
    <w:basedOn w:val="List"/>
    <w:rsid w:val="00EF5BC4"/>
    <w:pPr>
      <w:numPr>
        <w:numId w:val="12"/>
      </w:numPr>
      <w:tabs>
        <w:tab w:val="clear" w:pos="340"/>
      </w:tabs>
      <w:spacing w:before="40" w:after="40"/>
    </w:pPr>
  </w:style>
  <w:style w:type="character" w:customStyle="1" w:styleId="SpecialBold">
    <w:name w:val="Special Bold"/>
    <w:basedOn w:val="DefaultParagraphFont"/>
    <w:rsid w:val="00EF5BC4"/>
    <w:rPr>
      <w:b/>
      <w:spacing w:val="0"/>
    </w:rPr>
  </w:style>
  <w:style w:type="paragraph" w:styleId="ListBullet2">
    <w:name w:val="List Bullet 2"/>
    <w:basedOn w:val="List2"/>
    <w:rsid w:val="00EF5BC4"/>
    <w:pPr>
      <w:numPr>
        <w:numId w:val="13"/>
      </w:numPr>
      <w:tabs>
        <w:tab w:val="clear" w:pos="680"/>
      </w:tabs>
    </w:pPr>
  </w:style>
  <w:style w:type="paragraph" w:customStyle="1" w:styleId="SuperHeading">
    <w:name w:val="SuperHeading"/>
    <w:basedOn w:val="Normal"/>
    <w:rsid w:val="00EF5BC4"/>
    <w:pPr>
      <w:spacing w:before="240" w:after="120"/>
      <w:outlineLvl w:val="0"/>
    </w:pPr>
    <w:rPr>
      <w:rFonts w:ascii="Times New Roman" w:hAnsi="Times New Roman"/>
      <w:b/>
      <w:sz w:val="32"/>
    </w:rPr>
  </w:style>
  <w:style w:type="paragraph" w:customStyle="1" w:styleId="AllowPageBreak">
    <w:name w:val="AllowPageBreak"/>
    <w:rsid w:val="00EF5BC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F5B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5B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5B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5B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5B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5B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5B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5BC4"/>
    <w:rPr>
      <w:rFonts w:ascii="Courier New" w:eastAsia="Times New Roman" w:hAnsi="Courier New" w:cs="Times New Roman"/>
      <w:i/>
      <w:szCs w:val="20"/>
      <w:lang w:eastAsia="en-US"/>
    </w:rPr>
  </w:style>
  <w:style w:type="paragraph" w:customStyle="1" w:styleId="HeadingBase">
    <w:name w:val="Heading Base"/>
    <w:rsid w:val="00EF5B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5BC4"/>
    <w:pPr>
      <w:tabs>
        <w:tab w:val="right" w:leader="dot" w:pos="9072"/>
      </w:tabs>
      <w:ind w:left="567"/>
    </w:pPr>
    <w:rPr>
      <w:szCs w:val="22"/>
    </w:rPr>
  </w:style>
  <w:style w:type="paragraph" w:customStyle="1" w:styleId="TOCBase">
    <w:name w:val="TOC Base"/>
    <w:rsid w:val="00EF5B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5BC4"/>
    <w:pPr>
      <w:tabs>
        <w:tab w:val="right" w:leader="dot" w:pos="9072"/>
      </w:tabs>
      <w:spacing w:before="40" w:after="40"/>
      <w:ind w:left="284"/>
    </w:pPr>
    <w:rPr>
      <w:rFonts w:ascii="Times New Roman" w:hAnsi="Times New Roman"/>
    </w:rPr>
  </w:style>
  <w:style w:type="paragraph" w:styleId="TOC1">
    <w:name w:val="toc 1"/>
    <w:basedOn w:val="TOCBase"/>
    <w:next w:val="Normal"/>
    <w:rsid w:val="00EF5B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5B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5BC4"/>
    <w:rPr>
      <w:rFonts w:ascii="Times New Roman" w:eastAsia="Times New Roman" w:hAnsi="Times New Roman" w:cs="Times New Roman"/>
      <w:sz w:val="16"/>
      <w:lang w:eastAsia="en-US"/>
    </w:rPr>
  </w:style>
  <w:style w:type="paragraph" w:styleId="Title">
    <w:name w:val="Title"/>
    <w:basedOn w:val="HeadingBase"/>
    <w:link w:val="TitleChar"/>
    <w:qFormat/>
    <w:rsid w:val="00EF5BC4"/>
    <w:pPr>
      <w:spacing w:before="5040"/>
      <w:jc w:val="center"/>
    </w:pPr>
    <w:rPr>
      <w:sz w:val="48"/>
      <w:szCs w:val="72"/>
      <w:lang w:val="en-US"/>
    </w:rPr>
  </w:style>
  <w:style w:type="character" w:customStyle="1" w:styleId="TitleChar">
    <w:name w:val="Title Char"/>
    <w:basedOn w:val="DefaultParagraphFont"/>
    <w:link w:val="Title"/>
    <w:rsid w:val="00EF5B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5BC4"/>
    <w:pPr>
      <w:tabs>
        <w:tab w:val="left" w:pos="3600"/>
        <w:tab w:val="left" w:pos="3958"/>
      </w:tabs>
    </w:pPr>
  </w:style>
  <w:style w:type="paragraph" w:styleId="List">
    <w:name w:val="List"/>
    <w:basedOn w:val="BodyText"/>
    <w:next w:val="BodyText"/>
    <w:rsid w:val="00EF5BC4"/>
    <w:pPr>
      <w:tabs>
        <w:tab w:val="left" w:pos="340"/>
      </w:tabs>
      <w:spacing w:before="60" w:after="60"/>
      <w:ind w:left="340" w:hanging="340"/>
    </w:pPr>
  </w:style>
  <w:style w:type="paragraph" w:customStyle="1" w:styleId="Note">
    <w:name w:val="Note"/>
    <w:basedOn w:val="BodyText"/>
    <w:rsid w:val="00EF5B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5BC4"/>
    <w:pPr>
      <w:framePr w:wrap="auto" w:hAnchor="text" w:y="6049"/>
    </w:pPr>
    <w:rPr>
      <w:color w:val="000000"/>
      <w:sz w:val="40"/>
    </w:rPr>
  </w:style>
  <w:style w:type="paragraph" w:customStyle="1" w:styleId="TOCTitle">
    <w:name w:val="TOCTitle"/>
    <w:basedOn w:val="Heading1"/>
    <w:rsid w:val="00EF5BC4"/>
    <w:pPr>
      <w:spacing w:after="240"/>
      <w:jc w:val="center"/>
      <w:outlineLvl w:val="9"/>
    </w:pPr>
    <w:rPr>
      <w:caps/>
    </w:rPr>
  </w:style>
  <w:style w:type="paragraph" w:customStyle="1" w:styleId="Version">
    <w:name w:val="Version"/>
    <w:rsid w:val="00EF5B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5BC4"/>
    <w:pPr>
      <w:keepNext w:val="0"/>
      <w:tabs>
        <w:tab w:val="right" w:pos="4176"/>
      </w:tabs>
      <w:ind w:left="198" w:hanging="198"/>
    </w:pPr>
    <w:rPr>
      <w:rFonts w:ascii="Garamond" w:hAnsi="Garamond"/>
    </w:rPr>
  </w:style>
  <w:style w:type="paragraph" w:styleId="IndexHeading">
    <w:name w:val="index heading"/>
    <w:basedOn w:val="Normal"/>
    <w:next w:val="Index1"/>
    <w:semiHidden/>
    <w:rsid w:val="00EF5BC4"/>
    <w:pPr>
      <w:spacing w:before="120" w:after="120"/>
    </w:pPr>
    <w:rPr>
      <w:rFonts w:ascii="Arial" w:hAnsi="Arial"/>
      <w:b/>
      <w:color w:val="918585"/>
      <w:sz w:val="24"/>
    </w:rPr>
  </w:style>
  <w:style w:type="paragraph" w:styleId="Header">
    <w:name w:val="header"/>
    <w:basedOn w:val="Normal"/>
    <w:link w:val="HeaderChar"/>
    <w:rsid w:val="00EF5B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5BC4"/>
    <w:rPr>
      <w:rFonts w:ascii="Times New Roman" w:eastAsia="Times New Roman" w:hAnsi="Times New Roman" w:cs="Times New Roman"/>
      <w:sz w:val="16"/>
      <w:szCs w:val="20"/>
      <w:lang w:val="en-GB" w:eastAsia="en-US"/>
    </w:rPr>
  </w:style>
  <w:style w:type="paragraph" w:customStyle="1" w:styleId="Chapter">
    <w:name w:val="Chapter"/>
    <w:basedOn w:val="Normal"/>
    <w:rsid w:val="00EF5BC4"/>
    <w:pPr>
      <w:spacing w:before="240"/>
    </w:pPr>
    <w:rPr>
      <w:rFonts w:ascii="Times New Roman" w:hAnsi="Times New Roman"/>
      <w:smallCaps/>
      <w:spacing w:val="80"/>
      <w:sz w:val="28"/>
    </w:rPr>
  </w:style>
  <w:style w:type="paragraph" w:customStyle="1" w:styleId="InChapter">
    <w:name w:val="InChapter"/>
    <w:basedOn w:val="Heading3"/>
    <w:rsid w:val="00EF5BC4"/>
    <w:pPr>
      <w:spacing w:after="240"/>
      <w:outlineLvl w:val="9"/>
    </w:pPr>
    <w:rPr>
      <w:noProof/>
    </w:rPr>
  </w:style>
  <w:style w:type="paragraph" w:styleId="Index2">
    <w:name w:val="index 2"/>
    <w:basedOn w:val="Normal"/>
    <w:next w:val="Normal"/>
    <w:semiHidden/>
    <w:rsid w:val="00EF5BC4"/>
    <w:pPr>
      <w:tabs>
        <w:tab w:val="right" w:pos="4176"/>
      </w:tabs>
      <w:ind w:left="568" w:hanging="284"/>
    </w:pPr>
    <w:rPr>
      <w:rFonts w:ascii="Garamond" w:hAnsi="Garamond"/>
    </w:rPr>
  </w:style>
  <w:style w:type="paragraph" w:customStyle="1" w:styleId="Byline">
    <w:name w:val="Byline"/>
    <w:rsid w:val="00EF5B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5BC4"/>
    <w:pPr>
      <w:tabs>
        <w:tab w:val="clear" w:pos="3600"/>
        <w:tab w:val="clear" w:pos="3958"/>
      </w:tabs>
      <w:jc w:val="right"/>
    </w:pPr>
  </w:style>
  <w:style w:type="character" w:styleId="Emphasis">
    <w:name w:val="Emphasis"/>
    <w:basedOn w:val="DefaultParagraphFont"/>
    <w:qFormat/>
    <w:rsid w:val="00EF5BC4"/>
    <w:rPr>
      <w:i/>
    </w:rPr>
  </w:style>
  <w:style w:type="paragraph" w:styleId="Caption">
    <w:name w:val="caption"/>
    <w:basedOn w:val="BodyText"/>
    <w:next w:val="Normal"/>
    <w:qFormat/>
    <w:rsid w:val="00EF5BC4"/>
    <w:pPr>
      <w:framePr w:w="2268" w:hSpace="181" w:vSpace="181" w:wrap="around" w:vAnchor="text" w:hAnchor="page" w:x="1135" w:y="285" w:anchorLock="1"/>
    </w:pPr>
    <w:rPr>
      <w:i/>
    </w:rPr>
  </w:style>
  <w:style w:type="paragraph" w:customStyle="1" w:styleId="MiniTOCTitle">
    <w:name w:val="MiniTOCTitle"/>
    <w:basedOn w:val="Heading4"/>
    <w:rsid w:val="00EF5BC4"/>
    <w:pPr>
      <w:spacing w:before="240"/>
      <w:outlineLvl w:val="9"/>
    </w:pPr>
    <w:rPr>
      <w:noProof/>
      <w:sz w:val="24"/>
    </w:rPr>
  </w:style>
  <w:style w:type="paragraph" w:customStyle="1" w:styleId="MiniTOCItem">
    <w:name w:val="MiniTOCItem"/>
    <w:basedOn w:val="ListBullet"/>
    <w:rsid w:val="00EF5BC4"/>
    <w:pPr>
      <w:numPr>
        <w:numId w:val="0"/>
      </w:numPr>
      <w:tabs>
        <w:tab w:val="right" w:leader="dot" w:pos="6521"/>
      </w:tabs>
      <w:spacing w:before="0" w:after="0"/>
    </w:pPr>
  </w:style>
  <w:style w:type="paragraph" w:customStyle="1" w:styleId="TOFTitle">
    <w:name w:val="TOFTitle"/>
    <w:basedOn w:val="TOCTitle"/>
    <w:rsid w:val="00EF5BC4"/>
  </w:style>
  <w:style w:type="paragraph" w:styleId="TableofFigures">
    <w:name w:val="table of figures"/>
    <w:basedOn w:val="Normal"/>
    <w:next w:val="Normal"/>
    <w:semiHidden/>
    <w:rsid w:val="00EF5BC4"/>
    <w:pPr>
      <w:tabs>
        <w:tab w:val="right" w:leader="dot" w:pos="9072"/>
      </w:tabs>
      <w:ind w:left="970" w:hanging="403"/>
    </w:pPr>
    <w:rPr>
      <w:rFonts w:ascii="Times New Roman" w:hAnsi="Times New Roman"/>
      <w:b/>
    </w:rPr>
  </w:style>
  <w:style w:type="paragraph" w:styleId="ListNumber">
    <w:name w:val="List Number"/>
    <w:basedOn w:val="List"/>
    <w:rsid w:val="00EF5BC4"/>
    <w:pPr>
      <w:numPr>
        <w:numId w:val="15"/>
      </w:numPr>
      <w:tabs>
        <w:tab w:val="clear" w:pos="340"/>
      </w:tabs>
    </w:pPr>
  </w:style>
  <w:style w:type="character" w:customStyle="1" w:styleId="WingdingSymbols">
    <w:name w:val="Wingding Symbols"/>
    <w:rsid w:val="00EF5BC4"/>
    <w:rPr>
      <w:rFonts w:ascii="Wingdings" w:hAnsi="Wingdings"/>
    </w:rPr>
  </w:style>
  <w:style w:type="paragraph" w:customStyle="1" w:styleId="TableHeading">
    <w:name w:val="Table Heading"/>
    <w:basedOn w:val="HeadingBase"/>
    <w:rsid w:val="00EF5BC4"/>
    <w:pPr>
      <w:keepLines/>
      <w:pBdr>
        <w:bottom w:val="single" w:sz="6" w:space="1" w:color="918585"/>
      </w:pBdr>
      <w:spacing w:before="240"/>
    </w:pPr>
  </w:style>
  <w:style w:type="character" w:customStyle="1" w:styleId="HotSpot">
    <w:name w:val="HotSpot"/>
    <w:rsid w:val="00EF5BC4"/>
    <w:rPr>
      <w:color w:val="0033CC"/>
      <w:u w:val="none"/>
    </w:rPr>
  </w:style>
  <w:style w:type="paragraph" w:customStyle="1" w:styleId="BodyTextRight">
    <w:name w:val="Body Text Right"/>
    <w:basedOn w:val="BodyText"/>
    <w:rsid w:val="00EF5BC4"/>
    <w:pPr>
      <w:spacing w:before="0" w:after="0"/>
      <w:jc w:val="right"/>
    </w:pPr>
  </w:style>
  <w:style w:type="paragraph" w:styleId="Index3">
    <w:name w:val="index 3"/>
    <w:basedOn w:val="ListNumber2"/>
    <w:next w:val="Normal"/>
    <w:semiHidden/>
    <w:rsid w:val="00EF5BC4"/>
    <w:pPr>
      <w:numPr>
        <w:numId w:val="0"/>
      </w:numPr>
      <w:tabs>
        <w:tab w:val="right" w:leader="dot" w:pos="4176"/>
      </w:tabs>
    </w:pPr>
  </w:style>
  <w:style w:type="paragraph" w:styleId="ListNumber2">
    <w:name w:val="List Number 2"/>
    <w:basedOn w:val="List2"/>
    <w:rsid w:val="00EF5BC4"/>
    <w:pPr>
      <w:numPr>
        <w:numId w:val="10"/>
      </w:numPr>
      <w:tabs>
        <w:tab w:val="clear" w:pos="1060"/>
      </w:tabs>
    </w:pPr>
  </w:style>
  <w:style w:type="paragraph" w:customStyle="1" w:styleId="MarginNote">
    <w:name w:val="Margin Note"/>
    <w:basedOn w:val="BodyText"/>
    <w:rsid w:val="00EF5B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5B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5B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5BC4"/>
    <w:rPr>
      <w:sz w:val="32"/>
    </w:rPr>
  </w:style>
  <w:style w:type="paragraph" w:customStyle="1" w:styleId="HeadingProcedure">
    <w:name w:val="Heading Procedure"/>
    <w:basedOn w:val="HeadingBase"/>
    <w:next w:val="Normal"/>
    <w:rsid w:val="00EF5BC4"/>
    <w:pPr>
      <w:tabs>
        <w:tab w:val="left" w:pos="0"/>
      </w:tabs>
      <w:spacing w:before="120" w:after="60"/>
    </w:pPr>
    <w:rPr>
      <w:i/>
      <w:color w:val="918585"/>
      <w:sz w:val="22"/>
    </w:rPr>
  </w:style>
  <w:style w:type="paragraph" w:customStyle="1" w:styleId="TableBodyText">
    <w:name w:val="Table Body Text"/>
    <w:basedOn w:val="BodyText"/>
    <w:rsid w:val="00EF5BC4"/>
    <w:pPr>
      <w:spacing w:before="60" w:after="60"/>
    </w:pPr>
  </w:style>
  <w:style w:type="paragraph" w:styleId="ListContinue">
    <w:name w:val="List Continue"/>
    <w:basedOn w:val="List"/>
    <w:rsid w:val="00EF5BC4"/>
    <w:pPr>
      <w:ind w:firstLine="0"/>
    </w:pPr>
  </w:style>
  <w:style w:type="paragraph" w:customStyle="1" w:styleId="ListNote">
    <w:name w:val="List Note"/>
    <w:basedOn w:val="List"/>
    <w:rsid w:val="00EF5BC4"/>
    <w:pPr>
      <w:pBdr>
        <w:top w:val="single" w:sz="6" w:space="2" w:color="918585"/>
        <w:bottom w:val="single" w:sz="6" w:space="2" w:color="918585"/>
      </w:pBdr>
      <w:tabs>
        <w:tab w:val="left" w:pos="1021"/>
      </w:tabs>
      <w:ind w:firstLine="0"/>
    </w:pPr>
  </w:style>
  <w:style w:type="paragraph" w:customStyle="1" w:styleId="Warning">
    <w:name w:val="Warning"/>
    <w:basedOn w:val="BodyText"/>
    <w:rsid w:val="00EF5BC4"/>
    <w:pPr>
      <w:shd w:val="clear" w:color="auto" w:fill="D9D9D9"/>
      <w:tabs>
        <w:tab w:val="left" w:pos="992"/>
      </w:tabs>
      <w:ind w:left="119" w:right="119"/>
    </w:pPr>
    <w:rPr>
      <w:sz w:val="20"/>
    </w:rPr>
  </w:style>
  <w:style w:type="paragraph" w:customStyle="1" w:styleId="MarginIcons">
    <w:name w:val="Margin Icons"/>
    <w:basedOn w:val="BodyText"/>
    <w:rsid w:val="00EF5B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5BC4"/>
    <w:rPr>
      <w:rFonts w:ascii="Courier New" w:hAnsi="Courier New"/>
    </w:rPr>
  </w:style>
  <w:style w:type="paragraph" w:customStyle="1" w:styleId="NoteBullet">
    <w:name w:val="Note Bullet"/>
    <w:basedOn w:val="Note"/>
    <w:rsid w:val="00EF5BC4"/>
    <w:pPr>
      <w:tabs>
        <w:tab w:val="clear" w:pos="680"/>
      </w:tabs>
      <w:spacing w:before="60" w:after="60"/>
    </w:pPr>
  </w:style>
  <w:style w:type="paragraph" w:customStyle="1" w:styleId="SubHeading2">
    <w:name w:val="SubHeading2"/>
    <w:basedOn w:val="HeadingBase"/>
    <w:rsid w:val="00EF5BC4"/>
    <w:pPr>
      <w:spacing w:before="240" w:after="60"/>
    </w:pPr>
    <w:rPr>
      <w:sz w:val="20"/>
    </w:rPr>
  </w:style>
  <w:style w:type="paragraph" w:customStyle="1" w:styleId="SubHeading1">
    <w:name w:val="SubHeading1"/>
    <w:basedOn w:val="HeadingBase"/>
    <w:rsid w:val="00EF5BC4"/>
    <w:pPr>
      <w:spacing w:before="240" w:after="60"/>
    </w:pPr>
    <w:rPr>
      <w:color w:val="918585"/>
      <w:sz w:val="22"/>
    </w:rPr>
  </w:style>
  <w:style w:type="paragraph" w:customStyle="1" w:styleId="SideHeading">
    <w:name w:val="Side Heading"/>
    <w:basedOn w:val="HeadingBase"/>
    <w:rsid w:val="00EF5B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5BC4"/>
    <w:pPr>
      <w:tabs>
        <w:tab w:val="num" w:pos="360"/>
      </w:tabs>
    </w:pPr>
  </w:style>
  <w:style w:type="paragraph" w:styleId="PlainText">
    <w:name w:val="Plain Text"/>
    <w:basedOn w:val="Normal"/>
    <w:link w:val="PlainTextChar"/>
    <w:rsid w:val="00EF5BC4"/>
    <w:rPr>
      <w:sz w:val="20"/>
    </w:rPr>
  </w:style>
  <w:style w:type="character" w:customStyle="1" w:styleId="PlainTextChar">
    <w:name w:val="Plain Text Char"/>
    <w:basedOn w:val="DefaultParagraphFont"/>
    <w:link w:val="PlainText"/>
    <w:rsid w:val="00EF5BC4"/>
    <w:rPr>
      <w:rFonts w:ascii="Courier New" w:eastAsia="Times New Roman" w:hAnsi="Courier New" w:cs="Times New Roman"/>
      <w:sz w:val="20"/>
      <w:szCs w:val="20"/>
      <w:lang w:eastAsia="en-US"/>
    </w:rPr>
  </w:style>
  <w:style w:type="character" w:customStyle="1" w:styleId="MenuOption">
    <w:name w:val="Menu Option"/>
    <w:basedOn w:val="DefaultParagraphFont"/>
    <w:rsid w:val="00EF5BC4"/>
    <w:rPr>
      <w:b/>
      <w:smallCaps/>
    </w:rPr>
  </w:style>
  <w:style w:type="paragraph" w:customStyle="1" w:styleId="TableListNumber">
    <w:name w:val="Table List Number"/>
    <w:basedOn w:val="ListNumber"/>
    <w:rsid w:val="00EF5BC4"/>
    <w:pPr>
      <w:numPr>
        <w:numId w:val="0"/>
      </w:numPr>
    </w:pPr>
  </w:style>
  <w:style w:type="paragraph" w:styleId="TOC4">
    <w:name w:val="toc 4"/>
    <w:basedOn w:val="TOCBase"/>
    <w:next w:val="Normal"/>
    <w:semiHidden/>
    <w:rsid w:val="00EF5BC4"/>
    <w:pPr>
      <w:tabs>
        <w:tab w:val="right" w:leader="dot" w:pos="9071"/>
      </w:tabs>
      <w:ind w:left="1701"/>
    </w:pPr>
  </w:style>
  <w:style w:type="paragraph" w:customStyle="1" w:styleId="ListAlpha">
    <w:name w:val="List Alpha"/>
    <w:basedOn w:val="List"/>
    <w:rsid w:val="00EF5BC4"/>
    <w:pPr>
      <w:numPr>
        <w:numId w:val="9"/>
      </w:numPr>
    </w:pPr>
  </w:style>
  <w:style w:type="paragraph" w:customStyle="1" w:styleId="ListAlpha2">
    <w:name w:val="List Alpha 2"/>
    <w:basedOn w:val="List2"/>
    <w:rsid w:val="00EF5BC4"/>
    <w:pPr>
      <w:numPr>
        <w:numId w:val="8"/>
      </w:numPr>
    </w:pPr>
  </w:style>
  <w:style w:type="paragraph" w:styleId="List2">
    <w:name w:val="List 2"/>
    <w:basedOn w:val="BodyText"/>
    <w:rsid w:val="00EF5BC4"/>
    <w:pPr>
      <w:tabs>
        <w:tab w:val="left" w:pos="680"/>
      </w:tabs>
      <w:spacing w:before="60" w:after="60"/>
      <w:ind w:left="680" w:hanging="340"/>
    </w:pPr>
  </w:style>
  <w:style w:type="paragraph" w:styleId="List3">
    <w:name w:val="List 3"/>
    <w:basedOn w:val="BodyText"/>
    <w:rsid w:val="00EF5BC4"/>
    <w:pPr>
      <w:tabs>
        <w:tab w:val="left" w:pos="1021"/>
      </w:tabs>
      <w:spacing w:before="60" w:after="60"/>
      <w:ind w:left="1020" w:hanging="340"/>
    </w:pPr>
  </w:style>
  <w:style w:type="paragraph" w:styleId="List4">
    <w:name w:val="List 4"/>
    <w:basedOn w:val="BodyText"/>
    <w:rsid w:val="00EF5BC4"/>
    <w:pPr>
      <w:tabs>
        <w:tab w:val="left" w:pos="1361"/>
      </w:tabs>
      <w:spacing w:before="60" w:after="60"/>
      <w:ind w:left="1361" w:hanging="340"/>
    </w:pPr>
  </w:style>
  <w:style w:type="paragraph" w:styleId="List5">
    <w:name w:val="List 5"/>
    <w:basedOn w:val="BodyText"/>
    <w:rsid w:val="00EF5BC4"/>
    <w:pPr>
      <w:tabs>
        <w:tab w:val="left" w:pos="1701"/>
      </w:tabs>
      <w:spacing w:before="60" w:after="60"/>
      <w:ind w:left="1701" w:hanging="340"/>
    </w:pPr>
  </w:style>
  <w:style w:type="paragraph" w:styleId="ListBullet3">
    <w:name w:val="List Bullet 3"/>
    <w:basedOn w:val="List3"/>
    <w:rsid w:val="00EF5BC4"/>
    <w:pPr>
      <w:numPr>
        <w:numId w:val="14"/>
      </w:numPr>
      <w:tabs>
        <w:tab w:val="clear" w:pos="1021"/>
      </w:tabs>
      <w:ind w:left="1037" w:hanging="357"/>
    </w:pPr>
  </w:style>
  <w:style w:type="paragraph" w:styleId="ListBullet4">
    <w:name w:val="List Bullet 4"/>
    <w:basedOn w:val="List4"/>
    <w:rsid w:val="00EF5BC4"/>
    <w:pPr>
      <w:numPr>
        <w:numId w:val="3"/>
      </w:numPr>
      <w:tabs>
        <w:tab w:val="clear" w:pos="1361"/>
      </w:tabs>
    </w:pPr>
  </w:style>
  <w:style w:type="paragraph" w:styleId="ListBullet5">
    <w:name w:val="List Bullet 5"/>
    <w:basedOn w:val="List5"/>
    <w:rsid w:val="00EF5BC4"/>
    <w:pPr>
      <w:numPr>
        <w:numId w:val="4"/>
      </w:numPr>
    </w:pPr>
  </w:style>
  <w:style w:type="paragraph" w:styleId="ListContinue2">
    <w:name w:val="List Continue 2"/>
    <w:basedOn w:val="List2"/>
    <w:rsid w:val="00EF5BC4"/>
    <w:pPr>
      <w:ind w:firstLine="0"/>
    </w:pPr>
  </w:style>
  <w:style w:type="paragraph" w:styleId="ListContinue3">
    <w:name w:val="List Continue 3"/>
    <w:basedOn w:val="List3"/>
    <w:rsid w:val="00EF5BC4"/>
    <w:pPr>
      <w:ind w:left="1021" w:firstLine="0"/>
    </w:pPr>
  </w:style>
  <w:style w:type="paragraph" w:styleId="ListContinue4">
    <w:name w:val="List Continue 4"/>
    <w:basedOn w:val="List4"/>
    <w:rsid w:val="00EF5BC4"/>
    <w:pPr>
      <w:ind w:firstLine="0"/>
    </w:pPr>
  </w:style>
  <w:style w:type="paragraph" w:styleId="ListContinue5">
    <w:name w:val="List Continue 5"/>
    <w:basedOn w:val="List5"/>
    <w:rsid w:val="00EF5BC4"/>
    <w:pPr>
      <w:ind w:firstLine="0"/>
    </w:pPr>
  </w:style>
  <w:style w:type="paragraph" w:styleId="ListNumber3">
    <w:name w:val="List Number 3"/>
    <w:basedOn w:val="List3"/>
    <w:rsid w:val="00EF5BC4"/>
    <w:pPr>
      <w:numPr>
        <w:numId w:val="5"/>
      </w:numPr>
    </w:pPr>
  </w:style>
  <w:style w:type="paragraph" w:styleId="ListNumber4">
    <w:name w:val="List Number 4"/>
    <w:basedOn w:val="List4"/>
    <w:rsid w:val="00EF5BC4"/>
    <w:pPr>
      <w:numPr>
        <w:numId w:val="6"/>
      </w:numPr>
    </w:pPr>
  </w:style>
  <w:style w:type="paragraph" w:styleId="ListNumber5">
    <w:name w:val="List Number 5"/>
    <w:basedOn w:val="List5"/>
    <w:rsid w:val="00EF5BC4"/>
    <w:pPr>
      <w:numPr>
        <w:numId w:val="7"/>
      </w:numPr>
    </w:pPr>
  </w:style>
  <w:style w:type="paragraph" w:styleId="BlockText">
    <w:name w:val="Block Text"/>
    <w:basedOn w:val="Normal"/>
    <w:rsid w:val="00EF5BC4"/>
    <w:pPr>
      <w:spacing w:after="120"/>
      <w:ind w:left="1440" w:right="1440"/>
    </w:pPr>
  </w:style>
  <w:style w:type="character" w:customStyle="1" w:styleId="Subscript">
    <w:name w:val="Subscript"/>
    <w:basedOn w:val="DefaultParagraphFont"/>
    <w:rsid w:val="00EF5BC4"/>
    <w:rPr>
      <w:sz w:val="16"/>
      <w:vertAlign w:val="subscript"/>
    </w:rPr>
  </w:style>
  <w:style w:type="character" w:customStyle="1" w:styleId="Superscript">
    <w:name w:val="Superscript"/>
    <w:basedOn w:val="DefaultParagraphFont"/>
    <w:rsid w:val="00EF5BC4"/>
    <w:rPr>
      <w:sz w:val="16"/>
      <w:vertAlign w:val="superscript"/>
    </w:rPr>
  </w:style>
  <w:style w:type="character" w:customStyle="1" w:styleId="Symbols">
    <w:name w:val="Symbols"/>
    <w:basedOn w:val="DefaultParagraphFont"/>
    <w:rsid w:val="00EF5BC4"/>
    <w:rPr>
      <w:rFonts w:ascii="Symbol" w:hAnsi="Symbol"/>
    </w:rPr>
  </w:style>
  <w:style w:type="character" w:customStyle="1" w:styleId="MenuOptions">
    <w:name w:val="Menu Options"/>
    <w:basedOn w:val="DefaultParagraphFont"/>
    <w:rsid w:val="00EF5BC4"/>
    <w:rPr>
      <w:rFonts w:ascii="Arial Narrow" w:hAnsi="Arial Narrow"/>
      <w:smallCaps/>
    </w:rPr>
  </w:style>
  <w:style w:type="character" w:customStyle="1" w:styleId="Buttons">
    <w:name w:val="Buttons"/>
    <w:basedOn w:val="DefaultParagraphFont"/>
    <w:rsid w:val="00EF5BC4"/>
    <w:rPr>
      <w:b/>
    </w:rPr>
  </w:style>
  <w:style w:type="character" w:customStyle="1" w:styleId="Underlined">
    <w:name w:val="Underlined"/>
    <w:basedOn w:val="DefaultParagraphFont"/>
    <w:rsid w:val="00EF5BC4"/>
    <w:rPr>
      <w:u w:val="single"/>
    </w:rPr>
  </w:style>
  <w:style w:type="paragraph" w:customStyle="1" w:styleId="TableBodyTextRight">
    <w:name w:val="Table Body Text Right"/>
    <w:basedOn w:val="TableBodyText"/>
    <w:rsid w:val="00EF5BC4"/>
    <w:pPr>
      <w:widowControl w:val="0"/>
      <w:autoSpaceDE w:val="0"/>
      <w:autoSpaceDN w:val="0"/>
      <w:adjustRightInd w:val="0"/>
      <w:jc w:val="right"/>
    </w:pPr>
    <w:rPr>
      <w:rFonts w:cs="Arial"/>
      <w:szCs w:val="18"/>
    </w:rPr>
  </w:style>
  <w:style w:type="paragraph" w:customStyle="1" w:styleId="CopyrightText">
    <w:name w:val="Copyright Text"/>
    <w:basedOn w:val="BodyText"/>
    <w:rsid w:val="00EF5BC4"/>
    <w:rPr>
      <w:sz w:val="18"/>
    </w:rPr>
  </w:style>
  <w:style w:type="paragraph" w:customStyle="1" w:styleId="BodySmallRight">
    <w:name w:val="Body Small Right"/>
    <w:basedOn w:val="BodyTextRight"/>
    <w:rsid w:val="00EF5BC4"/>
    <w:rPr>
      <w:sz w:val="18"/>
      <w:szCs w:val="18"/>
    </w:rPr>
  </w:style>
  <w:style w:type="paragraph" w:customStyle="1" w:styleId="MarginEdition">
    <w:name w:val="Margin Edition"/>
    <w:basedOn w:val="MarginNote"/>
    <w:rsid w:val="00EF5BC4"/>
    <w:pPr>
      <w:spacing w:before="0" w:after="0"/>
    </w:pPr>
    <w:rPr>
      <w:rFonts w:ascii="Times New Roman" w:hAnsi="Times New Roman"/>
      <w:color w:val="999999"/>
    </w:rPr>
  </w:style>
  <w:style w:type="paragraph" w:customStyle="1" w:styleId="Spacer">
    <w:name w:val="Spacer"/>
    <w:basedOn w:val="Normal"/>
    <w:rsid w:val="00EF5BC4"/>
    <w:rPr>
      <w:sz w:val="2"/>
      <w:szCs w:val="2"/>
    </w:rPr>
  </w:style>
  <w:style w:type="character" w:customStyle="1" w:styleId="Small">
    <w:name w:val="Small"/>
    <w:basedOn w:val="DefaultParagraphFont"/>
    <w:rsid w:val="00EF5BC4"/>
    <w:rPr>
      <w:sz w:val="16"/>
    </w:rPr>
  </w:style>
  <w:style w:type="paragraph" w:customStyle="1" w:styleId="WideTable">
    <w:name w:val="Wide Table"/>
    <w:basedOn w:val="Normal"/>
    <w:rsid w:val="00EF5BC4"/>
    <w:pPr>
      <w:ind w:left="-1418"/>
    </w:pPr>
    <w:rPr>
      <w:sz w:val="2"/>
      <w:szCs w:val="2"/>
    </w:rPr>
  </w:style>
  <w:style w:type="character" w:styleId="PageNumber">
    <w:name w:val="page number"/>
    <w:basedOn w:val="DefaultParagraphFont"/>
    <w:rsid w:val="00EF5BC4"/>
  </w:style>
  <w:style w:type="paragraph" w:styleId="Quote">
    <w:name w:val="Quote"/>
    <w:basedOn w:val="Heading1"/>
    <w:link w:val="QuoteChar"/>
    <w:qFormat/>
    <w:rsid w:val="00EF5BC4"/>
    <w:rPr>
      <w:b w:val="0"/>
      <w:sz w:val="72"/>
      <w:szCs w:val="72"/>
      <w:lang w:val="en-NZ"/>
    </w:rPr>
  </w:style>
  <w:style w:type="character" w:customStyle="1" w:styleId="QuoteChar">
    <w:name w:val="Quote Char"/>
    <w:basedOn w:val="DefaultParagraphFont"/>
    <w:link w:val="Quote"/>
    <w:rsid w:val="00EF5B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5BC4"/>
    <w:pPr>
      <w:pageBreakBefore/>
    </w:pPr>
  </w:style>
  <w:style w:type="paragraph" w:customStyle="1" w:styleId="Border">
    <w:name w:val="Border"/>
    <w:basedOn w:val="Normal"/>
    <w:qFormat/>
    <w:rsid w:val="00EF5B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5BC4"/>
    <w:rPr>
      <w:b/>
      <w:bCs/>
      <w:i/>
      <w:iCs/>
      <w:color w:val="auto"/>
    </w:rPr>
  </w:style>
  <w:style w:type="paragraph" w:styleId="IntenseQuote">
    <w:name w:val="Intense Quote"/>
    <w:basedOn w:val="Normal"/>
    <w:next w:val="Normal"/>
    <w:link w:val="IntenseQuoteChar"/>
    <w:uiPriority w:val="30"/>
    <w:qFormat/>
    <w:rsid w:val="00EF5B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5B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5BC4"/>
    <w:rPr>
      <w:smallCaps/>
      <w:color w:val="auto"/>
      <w:u w:val="single"/>
    </w:rPr>
  </w:style>
  <w:style w:type="character" w:styleId="IntenseReference">
    <w:name w:val="Intense Reference"/>
    <w:basedOn w:val="DefaultParagraphFont"/>
    <w:uiPriority w:val="32"/>
    <w:qFormat/>
    <w:rsid w:val="00EF5BC4"/>
    <w:rPr>
      <w:b/>
      <w:bCs/>
      <w:smallCaps/>
      <w:color w:val="auto"/>
      <w:spacing w:val="5"/>
      <w:u w:val="single"/>
    </w:rPr>
  </w:style>
  <w:style w:type="paragraph" w:customStyle="1" w:styleId="2ColumnHeading">
    <w:name w:val="2Column Heading"/>
    <w:basedOn w:val="BodyText"/>
    <w:qFormat/>
    <w:rsid w:val="00EF5BC4"/>
    <w:pPr>
      <w:spacing w:after="60"/>
      <w:ind w:left="-2268"/>
    </w:pPr>
    <w:rPr>
      <w:b/>
    </w:rPr>
  </w:style>
  <w:style w:type="paragraph" w:customStyle="1" w:styleId="Heading1TOC">
    <w:name w:val="Heading1 TOC"/>
    <w:basedOn w:val="Normal"/>
    <w:qFormat/>
    <w:rsid w:val="00EF5BC4"/>
    <w:pPr>
      <w:spacing w:before="240" w:after="120"/>
    </w:pPr>
    <w:rPr>
      <w:rFonts w:ascii="Times New Roman" w:hAnsi="Times New Roman"/>
      <w:b/>
      <w:sz w:val="32"/>
    </w:rPr>
  </w:style>
  <w:style w:type="paragraph" w:customStyle="1" w:styleId="Heading2TOC">
    <w:name w:val="Heading2 TOC"/>
    <w:basedOn w:val="Normal"/>
    <w:qFormat/>
    <w:rsid w:val="00EF5BC4"/>
    <w:pPr>
      <w:spacing w:before="240" w:after="60"/>
    </w:pPr>
    <w:rPr>
      <w:rFonts w:ascii="Times New Roman" w:hAnsi="Times New Roman"/>
      <w:b/>
      <w:sz w:val="28"/>
    </w:rPr>
  </w:style>
  <w:style w:type="character" w:customStyle="1" w:styleId="Underline">
    <w:name w:val="Underline"/>
    <w:basedOn w:val="DefaultParagraphFont"/>
    <w:qFormat/>
    <w:rsid w:val="00EF5BC4"/>
    <w:rPr>
      <w:u w:val="single"/>
    </w:rPr>
  </w:style>
  <w:style w:type="character" w:customStyle="1" w:styleId="BoldandItalics">
    <w:name w:val="Bold and Italics"/>
    <w:qFormat/>
    <w:rsid w:val="00EF5BC4"/>
    <w:rPr>
      <w:b/>
      <w:i/>
      <w:u w:val="none"/>
    </w:rPr>
  </w:style>
  <w:style w:type="paragraph" w:styleId="BalloonText">
    <w:name w:val="Balloon Text"/>
    <w:basedOn w:val="Normal"/>
    <w:link w:val="BalloonTextChar"/>
    <w:rsid w:val="00EF5BC4"/>
    <w:rPr>
      <w:rFonts w:ascii="Tahoma" w:hAnsi="Tahoma" w:cs="Tahoma"/>
      <w:sz w:val="16"/>
      <w:szCs w:val="16"/>
    </w:rPr>
  </w:style>
  <w:style w:type="character" w:customStyle="1" w:styleId="BalloonTextChar">
    <w:name w:val="Balloon Text Char"/>
    <w:basedOn w:val="DefaultParagraphFont"/>
    <w:link w:val="BalloonText"/>
    <w:rsid w:val="00EF5B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5B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5B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5BC4"/>
    <w:rPr>
      <w:b/>
      <w:color w:val="660033"/>
      <w:spacing w:val="0"/>
    </w:rPr>
  </w:style>
  <w:style w:type="paragraph" w:customStyle="1" w:styleId="Nameditemlist">
    <w:name w:val="Named item list"/>
    <w:basedOn w:val="BodyText"/>
    <w:qFormat/>
    <w:rsid w:val="00EF5BC4"/>
    <w:pPr>
      <w:tabs>
        <w:tab w:val="left" w:pos="2835"/>
      </w:tabs>
      <w:ind w:left="2835" w:hanging="2835"/>
    </w:pPr>
  </w:style>
  <w:style w:type="paragraph" w:customStyle="1" w:styleId="BodyTextnopadding">
    <w:name w:val="Body Text no padding"/>
    <w:basedOn w:val="BodyText"/>
    <w:qFormat/>
    <w:rsid w:val="00EF5BC4"/>
    <w:pPr>
      <w:spacing w:before="0" w:after="0"/>
    </w:pPr>
  </w:style>
  <w:style w:type="paragraph" w:customStyle="1" w:styleId="BodyTextBold">
    <w:name w:val="Body Text Bold"/>
    <w:basedOn w:val="BodyText"/>
    <w:qFormat/>
    <w:rsid w:val="00EF5BC4"/>
    <w:rPr>
      <w:b/>
    </w:rPr>
  </w:style>
  <w:style w:type="character" w:styleId="Hyperlink">
    <w:name w:val="Hyperlink"/>
    <w:basedOn w:val="DefaultParagraphFont"/>
    <w:uiPriority w:val="99"/>
    <w:unhideWhenUsed/>
    <w:rsid w:val="004856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1222</Words>
  <Characters>7712</Characters>
  <Application>Microsoft Office Word</Application>
  <DocSecurity>0</DocSecurity>
  <Lines>367</Lines>
  <Paragraphs>217</Paragraphs>
  <ScaleCrop>false</ScaleCrop>
  <Company>Author-it Software Corporation Ltd.</Company>
  <LinksUpToDate>false</LinksUpToDate>
  <CharactersWithSpaces>8717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PUAFIR302 Suppress urban fire</dc:title>
  <dc:subject>Approved</dc:subject>
  <dc:creator>Public Skills Australia</dc:creator>
  <cp:keywords>Release: 2</cp:keywords>
  <dc:description>Review Date: 12 April 2008</dc:description>
  <cp:lastModifiedBy>HSD_TPCMSd.prod</cp:lastModifiedBy>
  <cp:revision>3</cp:revision>
  <dcterms:created xsi:type="dcterms:W3CDTF">2025-02-11T06:39:00Z</dcterms:created>
  <dcterms:modified xsi:type="dcterms:W3CDTF">2025-02-11T06:39:00Z</dcterms:modified>
</cp:coreProperties>
</file>