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DAE" w:rsidP="00F93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PUAFIR220 Respond to isolated structure fire</w:t>
      </w:r>
      <w:r>
        <w:fldChar w:fldCharType="end"/>
      </w:r>
    </w:p>
    <w:p w:rsidR="00F93DAE" w:rsidP="00F93DAE">
      <w:pPr>
        <w:pStyle w:val="Version"/>
        <w:sectPr w:rsidSect="006C1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1792" w:rsidP="006C1792">
      <w:pPr>
        <w:pStyle w:val="SuperHeading"/>
      </w:pPr>
      <w:r w:rsidRPr="006C1792">
        <w:t>PUAFIR220 Respond to isolated structure fire</w:t>
      </w:r>
    </w:p>
    <w:p w:rsidR="00000000" w:rsidRPr="006C1792" w:rsidP="006C1792">
      <w:pPr>
        <w:pStyle w:val="Heading1"/>
      </w:pPr>
      <w:bookmarkStart w:id="1" w:name="O_1028064"/>
      <w:bookmarkEnd w:id="1"/>
      <w:r w:rsidRPr="006C17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Release 1.</w:t>
            </w:r>
            <w:r w:rsidRPr="006C1792">
              <w:t xml:space="preserve"> This is the first release of this unit of competency in the PUA Public Safety Training Package.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2" w:name="O_1028065"/>
      <w:bookmarkEnd w:id="2"/>
      <w:r w:rsidRPr="006C17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This unit of competency involves the skills and knowledge required to respond to an is</w:t>
            </w:r>
            <w:r w:rsidRPr="006C1792">
              <w:t>olated structure fire when working as a member of a team under direct supervision. It includes defensive external structural firefighting i.e. how to attack a fire from outside a structure and protect exposures. It does not cover offensive firefighting i.e</w:t>
            </w:r>
            <w:r w:rsidRPr="006C1792">
              <w:t>. internal attack within a structure or how to deal with fires involving dangerous goods and/or hazardous chemicals.</w:t>
            </w:r>
          </w:p>
          <w:p w:rsidR="00000000" w:rsidRPr="006C1792" w:rsidP="006C1792">
            <w:pPr>
              <w:pStyle w:val="BodyText"/>
            </w:pPr>
            <w:r w:rsidRPr="006C1792">
              <w:t>An isolated structure refers to a free standing building or manmade construction, such as a homestead or farm machinery shed. With an isola</w:t>
            </w:r>
            <w:r w:rsidRPr="006C1792">
              <w:t>ted structure, the possibility of fire spread between the structure itself and other structures or property not directly involved in the fire is generally low.</w:t>
            </w:r>
          </w:p>
          <w:p w:rsidR="00000000" w:rsidRPr="006C1792" w:rsidP="006C1792">
            <w:pPr>
              <w:pStyle w:val="BodyText"/>
            </w:pPr>
            <w:r w:rsidRPr="006C1792">
              <w:t>The unit applies to personnel working in rural and/or urban interface areas and rural communitie</w:t>
            </w:r>
            <w:r w:rsidRPr="006C1792">
              <w:t>s who are often required to respond to structure fires and to support asset protection. An individual operating in this context will perform this role under the direct supervision of a crew leader or an officer in charge.</w:t>
            </w:r>
          </w:p>
          <w:p w:rsidR="00000000" w:rsidRPr="006C1792" w:rsidP="006C1792">
            <w:pPr>
              <w:pStyle w:val="BodyText"/>
            </w:pPr>
            <w:r w:rsidRPr="006C1792">
              <w:t xml:space="preserve">The fire sector is those sections </w:t>
            </w:r>
            <w:r w:rsidRPr="006C1792">
              <w:t>of government departments, statutory authorities or organisations that have responsibility under jurisdictional arrangements for the delivery of firefighting and fire management services.</w:t>
            </w:r>
          </w:p>
          <w:p w:rsidR="00000000" w:rsidRPr="006C1792" w:rsidP="006C1792">
            <w:pPr>
              <w:pStyle w:val="BodyText"/>
            </w:pPr>
            <w:r w:rsidRPr="006C1792">
              <w:t>No licensing, legislative or certification requirements apply to thi</w:t>
            </w:r>
            <w:r w:rsidRPr="006C1792">
              <w:t>s unit at the time of publication.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3" w:name="O_1028066"/>
      <w:bookmarkEnd w:id="3"/>
      <w:r w:rsidRPr="006C17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It is essential that the prerequisite units listed below are obtained prior to the issuance of this unit to individuals within the fire sector or the units contributing to the attai</w:t>
            </w:r>
            <w:r w:rsidRPr="006C1792">
              <w:t>nment of a fire qualification.</w:t>
            </w:r>
          </w:p>
          <w:p w:rsidR="00000000" w:rsidRPr="006C1792" w:rsidP="006C1792">
            <w:pPr>
              <w:pStyle w:val="BodyText"/>
            </w:pPr>
            <w:r w:rsidRPr="006C1792">
              <w:t>PUAFIR210 Prevent injury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4" w:name="O_1028067"/>
      <w:bookmarkEnd w:id="4"/>
      <w:r w:rsidRPr="006C17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Fire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5" w:name="O_1028068"/>
      <w:bookmarkEnd w:id="5"/>
      <w:r w:rsidRPr="006C17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Fire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6" w:name="O_1028069"/>
      <w:bookmarkEnd w:id="6"/>
      <w:r w:rsidRPr="006C179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PERFORMANCE CRITERIA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Performance criteria describe the performance needed to demonstrate achievement of the element.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Information received about location and type of fire is recorded,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Appropriate personal protective clothing and equipment is donned,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Most effective route to the fire is identified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Prepare extinguishing media and/or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Water supplies at the incident to support firefighting are located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Equipment to access and supply water to firefighting operations is identifi</w:t>
            </w:r>
            <w:r w:rsidRPr="006C1792">
              <w:t>ed and assembled,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Nominated extinguishing media and/or equipment is identified, obtained and or accessed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Combat fires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Personal safety is maintained, in accordance with organisational procedures and Work, Health and Safety (WHS)/Occupational Health and Safety (OHS) guidelines, for responding to isolated structure fires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Hazards are identified and reported to supervis</w:t>
            </w:r>
            <w:r w:rsidRPr="006C1792">
              <w:t>ors,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Firefighting strategies are implemented through the chain of command,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Safe escape routes are identified confirmed and maintai</w:t>
            </w:r>
            <w:r w:rsidRPr="006C1792">
              <w:t>ned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 xml:space="preserve">Access to location of fire is gained and protecting life and minimising damage to the environment and property is undertaken, in accordance with organisational </w:t>
            </w:r>
            <w:r w:rsidRPr="006C1792">
              <w:t>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Extinguishing media and equipment are used, in accordance with manufacturers’ specifications and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Communication with team members and supervisor is maintained throughout the incident, in accordance with organisational proced</w:t>
            </w:r>
            <w:r w:rsidRPr="006C1792">
              <w:t>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Observe and report changes in conditions at the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Changing conditions at the fire are observed and effects on fire behaviour are noted and reported through the chain of command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Firefighting tactics are adapted to meet changing conditi</w:t>
            </w:r>
            <w:r w:rsidRPr="006C1792">
              <w:t>ons and fire behaviour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Participate in ancillary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Ancillary activities to complement firefighting operations and to prevent further damage to structure is undertaken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Assistance is given, if required, to complete and record incident information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rPr>
                <w:rStyle w:val="SpecialBold"/>
              </w:rPr>
              <w:t>Conclude firefighting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 xml:space="preserve">Firefighting equipment is collected, reinstated and stowed, in accordance with organisational procedures 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Incident scene is made sa</w:t>
            </w:r>
            <w:r w:rsidRPr="006C1792">
              <w:t>fe for the public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Defective or missing equipment is identified and reported, in accordance with organisational procedures</w:t>
            </w:r>
          </w:p>
        </w:tc>
      </w:tr>
      <w:tr w:rsidTr="006C179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 xml:space="preserve">Participate in debriefing sessions 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7" w:name="O_1028070"/>
      <w:bookmarkEnd w:id="7"/>
      <w:r w:rsidRPr="006C17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Foundation skills essential to performance are explicit in the performance criteria of this unit of competency.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8" w:name="O_1028071"/>
      <w:bookmarkEnd w:id="8"/>
      <w:r w:rsidRPr="006C17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Range is restricted to essential operating conditions and any other variables essential to the work env</w:t>
            </w:r>
            <w:r w:rsidRPr="006C1792">
              <w:t>ironment.</w:t>
            </w:r>
          </w:p>
          <w:p w:rsidR="00000000" w:rsidP="006C1792">
            <w:pPr>
              <w:pStyle w:val="BodyText"/>
              <w:rPr>
                <w:lang w:val="en-NZ"/>
              </w:rPr>
            </w:pPr>
            <w:r w:rsidRPr="006C1792">
              <w:t>Non-essential conditions may be found in the Companion Volume Implementation Guide.</w:t>
            </w:r>
          </w:p>
        </w:tc>
      </w:tr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personal protective clothing and equipment must include</w:t>
            </w:r>
          </w:p>
          <w:p w:rsidR="00000000" w:rsidP="006C1792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ListBullet"/>
            </w:pPr>
            <w:r w:rsidRPr="006C1792">
              <w:t>head and eye protection</w:t>
            </w:r>
          </w:p>
          <w:p w:rsidR="00000000" w:rsidRPr="006C1792" w:rsidP="006C1792">
            <w:pPr>
              <w:pStyle w:val="ListBullet"/>
            </w:pPr>
            <w:r w:rsidRPr="006C1792">
              <w:t xml:space="preserve">personal protective clothing </w:t>
            </w:r>
          </w:p>
          <w:p w:rsidR="00000000" w:rsidP="006C1792">
            <w:pPr>
              <w:pStyle w:val="ListBullet"/>
              <w:rPr>
                <w:lang w:val="en-NZ"/>
              </w:rPr>
            </w:pPr>
            <w:r w:rsidRPr="006C1792">
              <w:t>turnout uniform and gloves</w:t>
            </w:r>
          </w:p>
        </w:tc>
      </w:tr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equipment must include</w:t>
            </w:r>
          </w:p>
          <w:p w:rsidR="00000000" w:rsidP="006C1792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ListBullet"/>
            </w:pPr>
            <w:r w:rsidRPr="006C1792">
              <w:t>fire attack equipment</w:t>
            </w:r>
          </w:p>
          <w:p w:rsidR="00000000" w:rsidP="006C1792">
            <w:pPr>
              <w:pStyle w:val="ListBullet"/>
              <w:rPr>
                <w:lang w:val="en-NZ"/>
              </w:rPr>
            </w:pPr>
            <w:r w:rsidRPr="006C1792">
              <w:t>small gear and ancillary equipment</w:t>
            </w:r>
          </w:p>
        </w:tc>
      </w:tr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extinguishing media must include</w:t>
            </w:r>
          </w:p>
          <w:p w:rsidR="00000000" w:rsidP="006C1792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ListBullet"/>
            </w:pPr>
            <w:r w:rsidRPr="006C1792">
              <w:t>foam</w:t>
            </w:r>
          </w:p>
          <w:p w:rsidR="00000000" w:rsidRPr="006C1792" w:rsidP="006C1792">
            <w:pPr>
              <w:pStyle w:val="ListBullet"/>
            </w:pPr>
            <w:r w:rsidRPr="006C1792">
              <w:t>water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9" w:name="O_1028072"/>
      <w:bookmarkEnd w:id="9"/>
      <w:r w:rsidRPr="006C17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17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1792" w:rsidP="006C1792">
            <w:pPr>
              <w:pStyle w:val="BodyText"/>
            </w:pPr>
            <w:r w:rsidRPr="006C1792">
              <w:t>This unit replaces and is equivalent to PUAFIR218 Respond to isolated structure fire.</w:t>
            </w:r>
          </w:p>
        </w:tc>
      </w:tr>
    </w:tbl>
    <w:p w:rsidR="00000000" w:rsidRPr="006C1792" w:rsidP="006C1792">
      <w:pPr>
        <w:pStyle w:val="NoPaddingFontSize1"/>
      </w:pPr>
    </w:p>
    <w:p w:rsidR="00000000" w:rsidRPr="006C1792" w:rsidP="006C1792">
      <w:pPr>
        <w:pStyle w:val="AllowPageBreak"/>
      </w:pPr>
    </w:p>
    <w:p w:rsidR="00000000" w:rsidRPr="006C1792" w:rsidP="006C1792">
      <w:pPr>
        <w:pStyle w:val="Heading1"/>
      </w:pPr>
      <w:bookmarkStart w:id="10" w:name="O_1028079"/>
      <w:bookmarkEnd w:id="10"/>
      <w:r w:rsidRPr="006C1792">
        <w:t>Links</w:t>
      </w:r>
    </w:p>
    <w:p w:rsidR="00000000" w:rsidRPr="006C1792" w:rsidP="00F93DAE">
      <w:pPr>
        <w:pStyle w:val="BodyText"/>
      </w:pPr>
      <w:r w:rsidRPr="006C179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6767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1792" w:rsidP="006C1792"/>
    <w:sectPr w:rsidSect="006C17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92" w:rsidRPr="00F93DAE" w:rsidP="00F93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AE" w:rsidP="006C1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DAE" w:rsidP="006C1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93DAE" w:rsidP="006C1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1792" w:rsidRPr="00F93DAE" w:rsidP="00F93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DAE" w:rsidRPr="002D2AF8" w:rsidP="006C1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PUAFIR220 Respond to isolated structure 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93DAE" w:rsidP="006C1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E60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2A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1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1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1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1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1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1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1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1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1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1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1792"/>
  </w:style>
  <w:style w:type="character" w:customStyle="1" w:styleId="Heading1Char">
    <w:name w:val="Heading 1 Char"/>
    <w:basedOn w:val="DefaultParagraphFont"/>
    <w:link w:val="Heading1"/>
    <w:rsid w:val="006C1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1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1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17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1792"/>
    <w:rPr>
      <w:b/>
      <w:spacing w:val="0"/>
    </w:rPr>
  </w:style>
  <w:style w:type="paragraph" w:customStyle="1" w:styleId="SuperHeading">
    <w:name w:val="SuperHeading"/>
    <w:basedOn w:val="Normal"/>
    <w:rsid w:val="006C1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1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1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1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1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1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1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1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1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1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1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1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1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1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1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1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1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1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1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1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1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1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1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1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1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17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1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1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1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1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1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1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1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1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17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1792"/>
    <w:rPr>
      <w:i/>
    </w:rPr>
  </w:style>
  <w:style w:type="paragraph" w:styleId="Caption">
    <w:name w:val="caption"/>
    <w:basedOn w:val="BodyText"/>
    <w:next w:val="Normal"/>
    <w:qFormat/>
    <w:rsid w:val="006C1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1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1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1792"/>
  </w:style>
  <w:style w:type="paragraph" w:styleId="TableofFigures">
    <w:name w:val="table of figures"/>
    <w:basedOn w:val="Normal"/>
    <w:next w:val="Normal"/>
    <w:semiHidden/>
    <w:rsid w:val="006C1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17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1792"/>
    <w:rPr>
      <w:rFonts w:ascii="Wingdings" w:hAnsi="Wingdings"/>
    </w:rPr>
  </w:style>
  <w:style w:type="paragraph" w:customStyle="1" w:styleId="TableHeading">
    <w:name w:val="Table Heading"/>
    <w:basedOn w:val="HeadingBase"/>
    <w:rsid w:val="006C1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1792"/>
    <w:rPr>
      <w:color w:val="0033CC"/>
      <w:u w:val="none"/>
    </w:rPr>
  </w:style>
  <w:style w:type="paragraph" w:customStyle="1" w:styleId="BodyTextRight">
    <w:name w:val="Body Text Right"/>
    <w:basedOn w:val="BodyText"/>
    <w:rsid w:val="006C1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1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17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1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1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1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1792"/>
    <w:rPr>
      <w:sz w:val="32"/>
    </w:rPr>
  </w:style>
  <w:style w:type="paragraph" w:customStyle="1" w:styleId="HeadingProcedure">
    <w:name w:val="Heading Procedure"/>
    <w:basedOn w:val="HeadingBase"/>
    <w:next w:val="Normal"/>
    <w:rsid w:val="006C1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1792"/>
    <w:pPr>
      <w:spacing w:before="60" w:after="60"/>
    </w:pPr>
  </w:style>
  <w:style w:type="paragraph" w:styleId="ListContinue">
    <w:name w:val="List Continue"/>
    <w:basedOn w:val="List"/>
    <w:rsid w:val="006C1792"/>
    <w:pPr>
      <w:ind w:firstLine="0"/>
    </w:pPr>
  </w:style>
  <w:style w:type="paragraph" w:customStyle="1" w:styleId="ListNote">
    <w:name w:val="List Note"/>
    <w:basedOn w:val="List"/>
    <w:rsid w:val="006C1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1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1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1792"/>
    <w:rPr>
      <w:rFonts w:ascii="Courier New" w:hAnsi="Courier New"/>
    </w:rPr>
  </w:style>
  <w:style w:type="paragraph" w:customStyle="1" w:styleId="NoteBullet">
    <w:name w:val="Note Bullet"/>
    <w:basedOn w:val="Note"/>
    <w:rsid w:val="006C1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1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1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1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17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1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1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1792"/>
    <w:rPr>
      <w:b/>
      <w:smallCaps/>
    </w:rPr>
  </w:style>
  <w:style w:type="paragraph" w:customStyle="1" w:styleId="TableListNumber">
    <w:name w:val="Table List Number"/>
    <w:basedOn w:val="ListNumber"/>
    <w:rsid w:val="006C1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1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1792"/>
    <w:pPr>
      <w:numPr>
        <w:numId w:val="8"/>
      </w:numPr>
    </w:pPr>
  </w:style>
  <w:style w:type="paragraph" w:customStyle="1" w:styleId="ListAlpha2">
    <w:name w:val="List Alpha 2"/>
    <w:basedOn w:val="List2"/>
    <w:rsid w:val="006C1792"/>
    <w:pPr>
      <w:numPr>
        <w:numId w:val="7"/>
      </w:numPr>
    </w:pPr>
  </w:style>
  <w:style w:type="paragraph" w:styleId="List2">
    <w:name w:val="List 2"/>
    <w:basedOn w:val="BodyText"/>
    <w:rsid w:val="006C1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1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1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1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17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17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1792"/>
    <w:pPr>
      <w:numPr>
        <w:numId w:val="3"/>
      </w:numPr>
    </w:pPr>
  </w:style>
  <w:style w:type="paragraph" w:styleId="ListContinue2">
    <w:name w:val="List Continue 2"/>
    <w:basedOn w:val="List2"/>
    <w:rsid w:val="006C1792"/>
    <w:pPr>
      <w:ind w:firstLine="0"/>
    </w:pPr>
  </w:style>
  <w:style w:type="paragraph" w:styleId="ListContinue3">
    <w:name w:val="List Continue 3"/>
    <w:basedOn w:val="List3"/>
    <w:rsid w:val="006C1792"/>
    <w:pPr>
      <w:ind w:left="1021" w:firstLine="0"/>
    </w:pPr>
  </w:style>
  <w:style w:type="paragraph" w:styleId="ListContinue4">
    <w:name w:val="List Continue 4"/>
    <w:basedOn w:val="List4"/>
    <w:rsid w:val="006C1792"/>
    <w:pPr>
      <w:ind w:firstLine="0"/>
    </w:pPr>
  </w:style>
  <w:style w:type="paragraph" w:styleId="ListContinue5">
    <w:name w:val="List Continue 5"/>
    <w:basedOn w:val="List5"/>
    <w:rsid w:val="006C1792"/>
    <w:pPr>
      <w:ind w:firstLine="0"/>
    </w:pPr>
  </w:style>
  <w:style w:type="paragraph" w:styleId="ListNumber3">
    <w:name w:val="List Number 3"/>
    <w:basedOn w:val="List3"/>
    <w:rsid w:val="006C1792"/>
    <w:pPr>
      <w:numPr>
        <w:numId w:val="4"/>
      </w:numPr>
    </w:pPr>
  </w:style>
  <w:style w:type="paragraph" w:styleId="ListNumber4">
    <w:name w:val="List Number 4"/>
    <w:basedOn w:val="List4"/>
    <w:rsid w:val="006C1792"/>
    <w:pPr>
      <w:numPr>
        <w:numId w:val="5"/>
      </w:numPr>
    </w:pPr>
  </w:style>
  <w:style w:type="paragraph" w:styleId="ListNumber5">
    <w:name w:val="List Number 5"/>
    <w:basedOn w:val="List5"/>
    <w:rsid w:val="006C1792"/>
    <w:pPr>
      <w:numPr>
        <w:numId w:val="6"/>
      </w:numPr>
    </w:pPr>
  </w:style>
  <w:style w:type="paragraph" w:styleId="BlockText">
    <w:name w:val="Block Text"/>
    <w:basedOn w:val="Normal"/>
    <w:rsid w:val="006C1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1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1792"/>
    <w:rPr>
      <w:sz w:val="16"/>
      <w:vertAlign w:val="superscript"/>
    </w:rPr>
  </w:style>
  <w:style w:type="character" w:customStyle="1" w:styleId="Symbols">
    <w:name w:val="Symbols"/>
    <w:basedOn w:val="DefaultParagraphFont"/>
    <w:rsid w:val="006C1792"/>
    <w:rPr>
      <w:rFonts w:ascii="Symbol" w:hAnsi="Symbol"/>
    </w:rPr>
  </w:style>
  <w:style w:type="character" w:customStyle="1" w:styleId="MenuOptions">
    <w:name w:val="Menu Options"/>
    <w:basedOn w:val="DefaultParagraphFont"/>
    <w:rsid w:val="006C1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1792"/>
    <w:rPr>
      <w:b/>
    </w:rPr>
  </w:style>
  <w:style w:type="character" w:customStyle="1" w:styleId="Underlined">
    <w:name w:val="Underlined"/>
    <w:basedOn w:val="DefaultParagraphFont"/>
    <w:rsid w:val="006C1792"/>
    <w:rPr>
      <w:u w:val="single"/>
    </w:rPr>
  </w:style>
  <w:style w:type="paragraph" w:customStyle="1" w:styleId="TableBodyTextRight">
    <w:name w:val="Table Body Text Right"/>
    <w:basedOn w:val="TableBodyText"/>
    <w:rsid w:val="006C1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1792"/>
    <w:rPr>
      <w:sz w:val="18"/>
    </w:rPr>
  </w:style>
  <w:style w:type="paragraph" w:customStyle="1" w:styleId="BodySmallRight">
    <w:name w:val="Body Small Right"/>
    <w:basedOn w:val="BodyTextRight"/>
    <w:rsid w:val="006C1792"/>
    <w:rPr>
      <w:sz w:val="18"/>
      <w:szCs w:val="18"/>
    </w:rPr>
  </w:style>
  <w:style w:type="paragraph" w:customStyle="1" w:styleId="MarginEdition">
    <w:name w:val="Margin Edition"/>
    <w:basedOn w:val="MarginNote"/>
    <w:rsid w:val="006C1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1792"/>
    <w:rPr>
      <w:sz w:val="2"/>
      <w:szCs w:val="2"/>
    </w:rPr>
  </w:style>
  <w:style w:type="character" w:customStyle="1" w:styleId="Small">
    <w:name w:val="Small"/>
    <w:basedOn w:val="DefaultParagraphFont"/>
    <w:rsid w:val="006C1792"/>
    <w:rPr>
      <w:sz w:val="16"/>
    </w:rPr>
  </w:style>
  <w:style w:type="paragraph" w:customStyle="1" w:styleId="WideTable">
    <w:name w:val="Wide Table"/>
    <w:basedOn w:val="Normal"/>
    <w:rsid w:val="006C1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1792"/>
  </w:style>
  <w:style w:type="paragraph" w:styleId="Quote">
    <w:name w:val="Quote"/>
    <w:basedOn w:val="Heading1"/>
    <w:link w:val="QuoteChar"/>
    <w:qFormat/>
    <w:rsid w:val="006C1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1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1792"/>
    <w:pPr>
      <w:pageBreakBefore/>
    </w:pPr>
  </w:style>
  <w:style w:type="paragraph" w:customStyle="1" w:styleId="Border">
    <w:name w:val="Border"/>
    <w:basedOn w:val="Normal"/>
    <w:qFormat/>
    <w:rsid w:val="006C1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1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1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1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1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1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1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1792"/>
    <w:rPr>
      <w:u w:val="single"/>
    </w:rPr>
  </w:style>
  <w:style w:type="character" w:customStyle="1" w:styleId="BoldandItalics">
    <w:name w:val="Bold and Italics"/>
    <w:qFormat/>
    <w:rsid w:val="006C1792"/>
    <w:rPr>
      <w:b/>
      <w:i/>
      <w:u w:val="none"/>
    </w:rPr>
  </w:style>
  <w:style w:type="paragraph" w:styleId="BalloonText">
    <w:name w:val="Balloon Text"/>
    <w:basedOn w:val="Normal"/>
    <w:link w:val="BalloonTextChar"/>
    <w:rsid w:val="006C1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1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1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1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1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1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1792"/>
    <w:pPr>
      <w:spacing w:before="0" w:after="0"/>
    </w:pPr>
  </w:style>
  <w:style w:type="paragraph" w:customStyle="1" w:styleId="BodyTextBold">
    <w:name w:val="Body Text Bold"/>
    <w:basedOn w:val="BodyText"/>
    <w:qFormat/>
    <w:rsid w:val="006C1792"/>
    <w:rPr>
      <w:b/>
    </w:rPr>
  </w:style>
  <w:style w:type="character" w:styleId="Hyperlink">
    <w:name w:val="Hyperlink"/>
    <w:basedOn w:val="DefaultParagraphFont"/>
    <w:uiPriority w:val="99"/>
    <w:unhideWhenUsed/>
    <w:rsid w:val="00F93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4968</Characters>
  <Application>Microsoft Office Word</Application>
  <DocSecurity>0</DocSecurity>
  <Lines>216</Lines>
  <Paragraphs>115</Paragraphs>
  <ScaleCrop>false</ScaleCrop>
  <Company>Author-it Software Corporation Ltd.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PUAFIR220 Respond to isolated structure 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