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5532E" w:rsidP="0095532E">
      <w:pPr>
        <w:pStyle w:val="Title"/>
      </w:pPr>
      <w:r>
        <w:fldChar w:fldCharType="begin"/>
      </w:r>
      <w:r>
        <w:instrText xml:space="preserve"> TITLE   \* MERGEFORMAT </w:instrText>
      </w:r>
      <w:r>
        <w:fldChar w:fldCharType="separate"/>
      </w:r>
      <w:r>
        <w:t>PUAFIR010 Operate small equipment to prepare and load product into aircraft</w:t>
      </w:r>
      <w:r>
        <w:fldChar w:fldCharType="end"/>
      </w:r>
    </w:p>
    <w:p w:rsidR="0095532E" w:rsidP="0095532E">
      <w:pPr>
        <w:pStyle w:val="Version"/>
        <w:sectPr w:rsidSect="003C78B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C78B2" w:rsidP="003C78B2">
      <w:pPr>
        <w:pStyle w:val="SuperHeading"/>
      </w:pPr>
      <w:r w:rsidRPr="003C78B2">
        <w:t>PUAFIR010 Operate small equipment to prepare and load product into aircraft</w:t>
      </w:r>
    </w:p>
    <w:p w:rsidR="00000000" w:rsidRPr="003C78B2" w:rsidP="003C78B2">
      <w:pPr>
        <w:pStyle w:val="Heading1"/>
      </w:pPr>
      <w:bookmarkStart w:id="1" w:name="O_1154206"/>
      <w:bookmarkEnd w:id="1"/>
      <w:r w:rsidRPr="003C78B2">
        <w:t>Modification History</w:t>
      </w:r>
    </w:p>
    <w:tbl>
      <w:tblPr>
        <w:tblW w:w="9497" w:type="dxa"/>
        <w:tblLayout w:type="fixed"/>
        <w:tblCellMar>
          <w:left w:w="62" w:type="dxa"/>
          <w:right w:w="62" w:type="dxa"/>
        </w:tblCellMar>
        <w:tblLook w:val="0000"/>
      </w:tblPr>
      <w:tblGrid>
        <w:gridCol w:w="9497"/>
      </w:tblGrid>
      <w:tr w:rsidTr="003C78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C78B2" w:rsidP="003C78B2">
            <w:pPr>
              <w:pStyle w:val="BodyText"/>
            </w:pPr>
            <w:r w:rsidRPr="003C78B2">
              <w:rPr>
                <w:rStyle w:val="SpecialBold"/>
              </w:rPr>
              <w:t>Release 1.0</w:t>
            </w:r>
            <w:r w:rsidRPr="003C78B2">
              <w:t xml:space="preserve"> This is the first release of this unit of competency in the PUA Public Safety Training Package.</w:t>
            </w:r>
          </w:p>
        </w:tc>
      </w:tr>
    </w:tbl>
    <w:p w:rsidR="00000000" w:rsidRPr="003C78B2" w:rsidP="003C78B2">
      <w:pPr>
        <w:pStyle w:val="NoPaddingFontSize1"/>
      </w:pPr>
    </w:p>
    <w:p w:rsidR="00000000" w:rsidRPr="003C78B2" w:rsidP="003C78B2">
      <w:pPr>
        <w:pStyle w:val="AllowPageBreak"/>
      </w:pPr>
    </w:p>
    <w:p w:rsidR="00000000" w:rsidRPr="003C78B2" w:rsidP="003C78B2">
      <w:pPr>
        <w:pStyle w:val="Heading1"/>
      </w:pPr>
      <w:bookmarkStart w:id="2" w:name="O_1154207"/>
      <w:bookmarkEnd w:id="2"/>
      <w:r w:rsidRPr="003C78B2">
        <w:t>Application</w:t>
      </w:r>
    </w:p>
    <w:tbl>
      <w:tblPr>
        <w:tblW w:w="9497" w:type="dxa"/>
        <w:tblLayout w:type="fixed"/>
        <w:tblCellMar>
          <w:left w:w="62" w:type="dxa"/>
          <w:right w:w="62" w:type="dxa"/>
        </w:tblCellMar>
        <w:tblLook w:val="0000"/>
      </w:tblPr>
      <w:tblGrid>
        <w:gridCol w:w="9497"/>
      </w:tblGrid>
      <w:tr w:rsidTr="003C78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C78B2" w:rsidP="003C78B2">
            <w:pPr>
              <w:pStyle w:val="BodyText"/>
            </w:pPr>
            <w:r w:rsidRPr="003C78B2">
              <w:t>This unit of competency involves the skills and knowledge to operate small equipment and to prepare and load product into aircraft tanks as part of an incident response strategy. It includes working safely with product, protecting water supplies and the e</w:t>
            </w:r>
            <w:r w:rsidRPr="003C78B2">
              <w:t>nvironment, operating and maintaining small equipment to prepare and load product, loading product into aircraft and responding to product spillage.</w:t>
            </w:r>
          </w:p>
          <w:p w:rsidR="00000000" w:rsidRPr="003C78B2" w:rsidP="003C78B2">
            <w:pPr>
              <w:pStyle w:val="BodyText"/>
            </w:pPr>
            <w:r w:rsidRPr="003C78B2">
              <w:t>Product may include fire retardant, a fire suppressant such as foam, gel, or water (without additive). It m</w:t>
            </w:r>
            <w:r w:rsidRPr="003C78B2">
              <w:t>ay also be an oil spill dispersant or other product. Some products, such as water, will require minimum preparation and work may be undertaken under limited supervision. The preparation of other products such as fire retardant will be more technical and th</w:t>
            </w:r>
            <w:r w:rsidRPr="003C78B2">
              <w:t xml:space="preserve">erefore, preparation may need to be undertaken under supervision within a team environment.  </w:t>
            </w:r>
          </w:p>
          <w:p w:rsidR="00000000" w:rsidRPr="003C78B2" w:rsidP="003C78B2">
            <w:pPr>
              <w:pStyle w:val="BodyText"/>
            </w:pPr>
            <w:r w:rsidRPr="003C78B2">
              <w:t>A wide range of small equipment is used to prepare and load product. A trained person will need to receive an induction where the preparation and loading involves</w:t>
            </w:r>
            <w:r w:rsidRPr="003C78B2">
              <w:t xml:space="preserve"> product and/or equipment with which they are unfamiliar. </w:t>
            </w:r>
          </w:p>
          <w:p w:rsidR="00000000" w:rsidRPr="003C78B2" w:rsidP="003C78B2">
            <w:pPr>
              <w:pStyle w:val="BodyText"/>
            </w:pPr>
            <w:r w:rsidRPr="003C78B2">
              <w:t>This unit is applicable to personnel working at an airbase and operating small equipment to prepare and load product into aircraft for dispersal as part of an incident management strategy. Authoris</w:t>
            </w:r>
            <w:r w:rsidRPr="003C78B2">
              <w:t>ation to perform this function is subject to organisational policies and procedures.</w:t>
            </w:r>
          </w:p>
          <w:p w:rsidR="00000000" w:rsidRPr="003C78B2" w:rsidP="003C78B2">
            <w:pPr>
              <w:pStyle w:val="BodyText"/>
            </w:pPr>
            <w:r w:rsidRPr="003C78B2">
              <w:t xml:space="preserve">The fire sector is those sections of government departments, statutory authorities or agencies that have responsibility under jurisdictional arrangements for the delivery </w:t>
            </w:r>
            <w:r w:rsidRPr="003C78B2">
              <w:t>of firefighting and fire management services.</w:t>
            </w:r>
          </w:p>
          <w:p w:rsidR="00000000" w:rsidRPr="003C78B2" w:rsidP="003C78B2">
            <w:pPr>
              <w:pStyle w:val="BodyText"/>
            </w:pPr>
            <w:r w:rsidRPr="003C78B2">
              <w:t>No licensing, legislative or certification requirements apply to this unit at the time of publication.</w:t>
            </w:r>
          </w:p>
        </w:tc>
      </w:tr>
    </w:tbl>
    <w:p w:rsidR="00000000" w:rsidRPr="003C78B2" w:rsidP="003C78B2">
      <w:pPr>
        <w:pStyle w:val="NoPaddingFontSize1"/>
      </w:pPr>
    </w:p>
    <w:p w:rsidR="00000000" w:rsidRPr="003C78B2" w:rsidP="003C78B2">
      <w:pPr>
        <w:pStyle w:val="AllowPageBreak"/>
      </w:pPr>
    </w:p>
    <w:p w:rsidR="00000000" w:rsidRPr="003C78B2" w:rsidP="003C78B2">
      <w:pPr>
        <w:pStyle w:val="Heading1"/>
      </w:pPr>
      <w:bookmarkStart w:id="3" w:name="O_1154208"/>
      <w:bookmarkEnd w:id="3"/>
      <w:r w:rsidRPr="003C78B2">
        <w:t>Pre-requisite Unit</w:t>
      </w:r>
    </w:p>
    <w:tbl>
      <w:tblPr>
        <w:tblW w:w="9497" w:type="dxa"/>
        <w:tblLayout w:type="fixed"/>
        <w:tblCellMar>
          <w:left w:w="62" w:type="dxa"/>
          <w:right w:w="62" w:type="dxa"/>
        </w:tblCellMar>
        <w:tblLook w:val="0000"/>
      </w:tblPr>
      <w:tblGrid>
        <w:gridCol w:w="9497"/>
      </w:tblGrid>
      <w:tr w:rsidTr="003C78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C78B2" w:rsidP="003C78B2">
            <w:pPr>
              <w:pStyle w:val="BodyText"/>
            </w:pPr>
            <w:r w:rsidRPr="003C78B2">
              <w:t>It is essential that the prerequisite units listed below are obtain</w:t>
            </w:r>
            <w:r w:rsidRPr="003C78B2">
              <w:t>ed prior to the issuance of this unit to individuals with the fire sector or the units contributing to the attainment of a fire qualification.</w:t>
            </w:r>
          </w:p>
          <w:p w:rsidR="00000000" w:rsidRPr="003C78B2" w:rsidP="003C78B2">
            <w:pPr>
              <w:pStyle w:val="BodyText"/>
            </w:pPr>
            <w:r w:rsidRPr="003C78B2">
              <w:t>PUAFIR017 Work safely around aircraft</w:t>
            </w:r>
          </w:p>
        </w:tc>
      </w:tr>
    </w:tbl>
    <w:p w:rsidR="00000000" w:rsidRPr="003C78B2" w:rsidP="003C78B2">
      <w:pPr>
        <w:pStyle w:val="NoPaddingFontSize1"/>
      </w:pPr>
    </w:p>
    <w:p w:rsidR="00000000" w:rsidRPr="003C78B2" w:rsidP="003C78B2">
      <w:pPr>
        <w:pStyle w:val="AllowPageBreak"/>
      </w:pPr>
    </w:p>
    <w:p w:rsidR="00000000" w:rsidRPr="003C78B2" w:rsidP="003C78B2">
      <w:pPr>
        <w:pStyle w:val="Heading1"/>
      </w:pPr>
      <w:bookmarkStart w:id="4" w:name="O_1154209"/>
      <w:bookmarkEnd w:id="4"/>
      <w:r w:rsidRPr="003C78B2">
        <w:t>Competency Field</w:t>
      </w:r>
    </w:p>
    <w:tbl>
      <w:tblPr>
        <w:tblW w:w="9497" w:type="dxa"/>
        <w:tblLayout w:type="fixed"/>
        <w:tblCellMar>
          <w:left w:w="62" w:type="dxa"/>
          <w:right w:w="62" w:type="dxa"/>
        </w:tblCellMar>
        <w:tblLook w:val="0000"/>
      </w:tblPr>
      <w:tblGrid>
        <w:gridCol w:w="9497"/>
      </w:tblGrid>
      <w:tr w:rsidTr="003C78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C78B2" w:rsidP="003C78B2">
            <w:pPr>
              <w:pStyle w:val="BodyText"/>
            </w:pPr>
            <w:r w:rsidRPr="003C78B2">
              <w:t>Fire</w:t>
            </w:r>
          </w:p>
        </w:tc>
      </w:tr>
    </w:tbl>
    <w:p w:rsidR="00000000" w:rsidRPr="003C78B2" w:rsidP="003C78B2">
      <w:pPr>
        <w:pStyle w:val="NoPaddingFontSize1"/>
      </w:pPr>
    </w:p>
    <w:p w:rsidR="00000000" w:rsidRPr="003C78B2" w:rsidP="003C78B2">
      <w:pPr>
        <w:pStyle w:val="AllowPageBreak"/>
      </w:pPr>
    </w:p>
    <w:p w:rsidR="00000000" w:rsidRPr="003C78B2" w:rsidP="003C78B2">
      <w:pPr>
        <w:pStyle w:val="Heading1"/>
      </w:pPr>
      <w:bookmarkStart w:id="5" w:name="O_1154210"/>
      <w:bookmarkEnd w:id="5"/>
      <w:r w:rsidRPr="003C78B2">
        <w:t>Unit Sector</w:t>
      </w:r>
    </w:p>
    <w:tbl>
      <w:tblPr>
        <w:tblW w:w="9498" w:type="dxa"/>
        <w:tblLayout w:type="fixed"/>
        <w:tblCellMar>
          <w:left w:w="62" w:type="dxa"/>
          <w:right w:w="62" w:type="dxa"/>
        </w:tblCellMar>
        <w:tblLook w:val="0000"/>
      </w:tblPr>
      <w:tblGrid>
        <w:gridCol w:w="9498"/>
      </w:tblGrid>
      <w:tr w:rsidTr="003C78B2">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3C78B2" w:rsidP="003C78B2">
            <w:pPr>
              <w:pStyle w:val="BodyText"/>
            </w:pPr>
            <w:r w:rsidRPr="003C78B2">
              <w:t>Fire</w:t>
            </w:r>
          </w:p>
        </w:tc>
      </w:tr>
    </w:tbl>
    <w:p w:rsidR="00000000" w:rsidRPr="003C78B2" w:rsidP="003C78B2">
      <w:pPr>
        <w:pStyle w:val="NoPaddingFontSize1"/>
      </w:pPr>
    </w:p>
    <w:p w:rsidR="00000000" w:rsidRPr="003C78B2" w:rsidP="003C78B2">
      <w:pPr>
        <w:pStyle w:val="AllowPageBreak"/>
      </w:pPr>
    </w:p>
    <w:p w:rsidR="00000000" w:rsidRPr="003C78B2" w:rsidP="003C78B2">
      <w:pPr>
        <w:pStyle w:val="Heading1"/>
      </w:pPr>
      <w:bookmarkStart w:id="6" w:name="O_1154211"/>
      <w:bookmarkEnd w:id="6"/>
      <w:r w:rsidRPr="003C78B2">
        <w:t>Elements and Performance Criteria</w:t>
      </w:r>
    </w:p>
    <w:tbl>
      <w:tblPr>
        <w:tblW w:w="9498" w:type="dxa"/>
        <w:tblLayout w:type="fixed"/>
        <w:tblCellMar>
          <w:left w:w="62" w:type="dxa"/>
          <w:right w:w="62" w:type="dxa"/>
        </w:tblCellMar>
        <w:tblLook w:val="0000"/>
      </w:tblPr>
      <w:tblGrid>
        <w:gridCol w:w="403"/>
        <w:gridCol w:w="3817"/>
        <w:gridCol w:w="593"/>
        <w:gridCol w:w="4685"/>
      </w:tblGrid>
      <w:tr w:rsidTr="003C78B2">
        <w:tblPrEx>
          <w:tblW w:w="9498" w:type="dxa"/>
          <w:tblLayout w:type="fixed"/>
          <w:tblCellMar>
            <w:left w:w="62" w:type="dxa"/>
            <w:right w:w="62" w:type="dxa"/>
          </w:tblCellMar>
          <w:tblLook w:val="0000"/>
        </w:tblPrEx>
        <w:trPr>
          <w:trHeight w:val="23"/>
        </w:trPr>
        <w:tc>
          <w:tcPr>
            <w:tcW w:w="403" w:type="dxa"/>
            <w:tcBorders>
              <w:top w:val="nil"/>
              <w:left w:val="nil"/>
              <w:bottom w:val="nil"/>
              <w:right w:val="nil"/>
            </w:tcBorders>
            <w:tcMar>
              <w:top w:w="0" w:type="dxa"/>
              <w:left w:w="62" w:type="dxa"/>
              <w:bottom w:w="0" w:type="dxa"/>
              <w:right w:w="62" w:type="dxa"/>
            </w:tcMar>
          </w:tcPr>
          <w:p w:rsidR="00000000" w:rsidRPr="003C78B2">
            <w:pPr>
              <w:pStyle w:val="BodyText"/>
              <w:keepLines w:val="0"/>
            </w:pPr>
          </w:p>
        </w:tc>
        <w:tc>
          <w:tcPr>
            <w:tcW w:w="3817" w:type="dxa"/>
            <w:tcBorders>
              <w:top w:val="nil"/>
              <w:left w:val="nil"/>
              <w:bottom w:val="nil"/>
              <w:right w:val="nil"/>
            </w:tcBorders>
            <w:tcMar>
              <w:top w:w="0" w:type="dxa"/>
              <w:left w:w="62" w:type="dxa"/>
              <w:bottom w:w="0" w:type="dxa"/>
              <w:right w:w="62" w:type="dxa"/>
            </w:tcMar>
          </w:tcPr>
          <w:p w:rsidR="00000000" w:rsidRPr="003C78B2" w:rsidP="003C78B2">
            <w:pPr>
              <w:pStyle w:val="BodyText"/>
            </w:pPr>
            <w:r w:rsidRPr="003C78B2">
              <w:rPr>
                <w:rStyle w:val="SpecialBold"/>
              </w:rPr>
              <w:t>ELEMENTS</w:t>
            </w:r>
          </w:p>
        </w:tc>
        <w:tc>
          <w:tcPr>
            <w:tcW w:w="5278" w:type="dxa"/>
            <w:gridSpan w:val="2"/>
            <w:tcBorders>
              <w:top w:val="nil"/>
              <w:left w:val="nil"/>
              <w:bottom w:val="nil"/>
              <w:right w:val="nil"/>
            </w:tcBorders>
            <w:tcMar>
              <w:top w:w="0" w:type="dxa"/>
              <w:left w:w="62" w:type="dxa"/>
              <w:bottom w:w="0" w:type="dxa"/>
              <w:right w:w="62" w:type="dxa"/>
            </w:tcMar>
          </w:tcPr>
          <w:p w:rsidR="00000000" w:rsidP="003C78B2">
            <w:pPr>
              <w:pStyle w:val="BodyText"/>
              <w:rPr>
                <w:lang w:val="en-NZ"/>
              </w:rPr>
            </w:pPr>
            <w:r w:rsidRPr="003C78B2">
              <w:rPr>
                <w:rStyle w:val="SpecialBold"/>
              </w:rPr>
              <w:t>PERFORMANCE CRITERIA</w:t>
            </w:r>
          </w:p>
        </w:tc>
      </w:tr>
      <w:tr w:rsidTr="003C78B2">
        <w:tblPrEx>
          <w:tblW w:w="9498" w:type="dxa"/>
          <w:tblLayout w:type="fixed"/>
          <w:tblCellMar>
            <w:left w:w="62" w:type="dxa"/>
            <w:right w:w="62" w:type="dxa"/>
          </w:tblCellMar>
          <w:tblLook w:val="0000"/>
        </w:tblPrEx>
        <w:trPr>
          <w:trHeight w:val="36"/>
        </w:trPr>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817" w:type="dxa"/>
            <w:tcBorders>
              <w:top w:val="nil"/>
              <w:left w:val="nil"/>
              <w:bottom w:val="nil"/>
              <w:right w:val="nil"/>
            </w:tcBorders>
            <w:tcMar>
              <w:top w:w="0" w:type="dxa"/>
              <w:left w:w="62" w:type="dxa"/>
              <w:bottom w:w="0" w:type="dxa"/>
              <w:right w:w="62" w:type="dxa"/>
            </w:tcMar>
          </w:tcPr>
          <w:p w:rsidR="00000000" w:rsidP="003C78B2">
            <w:pPr>
              <w:pStyle w:val="BodyText"/>
              <w:rPr>
                <w:lang w:val="en-NZ"/>
              </w:rPr>
            </w:pPr>
            <w:r w:rsidRPr="003C78B2">
              <w:t>Elements describe the essential outcomes</w:t>
            </w:r>
          </w:p>
        </w:tc>
        <w:tc>
          <w:tcPr>
            <w:tcW w:w="5278" w:type="dxa"/>
            <w:gridSpan w:val="2"/>
            <w:tcBorders>
              <w:top w:val="nil"/>
              <w:left w:val="nil"/>
              <w:bottom w:val="nil"/>
              <w:right w:val="nil"/>
            </w:tcBorders>
            <w:tcMar>
              <w:top w:w="0" w:type="dxa"/>
              <w:left w:w="62" w:type="dxa"/>
              <w:bottom w:w="0" w:type="dxa"/>
              <w:right w:w="62" w:type="dxa"/>
            </w:tcMar>
          </w:tcPr>
          <w:p w:rsidR="00000000" w:rsidP="003C78B2">
            <w:pPr>
              <w:pStyle w:val="BodyText"/>
              <w:rPr>
                <w:lang w:val="en-NZ"/>
              </w:rPr>
            </w:pPr>
            <w:r w:rsidRPr="003C78B2">
              <w:t>Performance criteria describe the performance needed to demonstrate achievement of the element.</w:t>
            </w:r>
          </w:p>
        </w:tc>
      </w:tr>
      <w:tr w:rsidTr="003C78B2">
        <w:tblPrEx>
          <w:tblW w:w="9498" w:type="dxa"/>
          <w:tblLayout w:type="fixed"/>
          <w:tblCellMar>
            <w:left w:w="62" w:type="dxa"/>
            <w:right w:w="62" w:type="dxa"/>
          </w:tblCellMar>
          <w:tblLook w:val="0000"/>
        </w:tblPrEx>
        <w:trPr>
          <w:trHeight w:val="36"/>
        </w:trPr>
        <w:tc>
          <w:tcPr>
            <w:tcW w:w="403" w:type="dxa"/>
            <w:tcBorders>
              <w:top w:val="nil"/>
              <w:left w:val="nil"/>
              <w:bottom w:val="nil"/>
              <w:right w:val="nil"/>
            </w:tcBorders>
            <w:tcMar>
              <w:top w:w="0" w:type="dxa"/>
              <w:left w:w="62" w:type="dxa"/>
              <w:bottom w:w="0" w:type="dxa"/>
              <w:right w:w="62" w:type="dxa"/>
            </w:tcMar>
          </w:tcPr>
          <w:p w:rsidR="00000000" w:rsidRPr="003C78B2" w:rsidP="003C78B2">
            <w:pPr>
              <w:pStyle w:val="BodyText"/>
            </w:pPr>
            <w:r w:rsidRPr="003C78B2">
              <w:rPr>
                <w:rStyle w:val="SpecialBold"/>
              </w:rPr>
              <w:t>1</w:t>
            </w:r>
          </w:p>
        </w:tc>
        <w:tc>
          <w:tcPr>
            <w:tcW w:w="3817" w:type="dxa"/>
            <w:tcBorders>
              <w:top w:val="nil"/>
              <w:left w:val="nil"/>
              <w:bottom w:val="nil"/>
              <w:right w:val="nil"/>
            </w:tcBorders>
            <w:tcMar>
              <w:top w:w="0" w:type="dxa"/>
              <w:left w:w="62" w:type="dxa"/>
              <w:bottom w:w="0" w:type="dxa"/>
              <w:right w:w="62" w:type="dxa"/>
            </w:tcMar>
          </w:tcPr>
          <w:p w:rsidR="00000000" w:rsidRPr="003C78B2" w:rsidP="003C78B2">
            <w:pPr>
              <w:pStyle w:val="BodyText"/>
            </w:pPr>
            <w:r w:rsidRPr="003C78B2">
              <w:rPr>
                <w:rStyle w:val="SpecialBold"/>
              </w:rPr>
              <w:t>Work safely with product</w:t>
            </w:r>
          </w:p>
        </w:tc>
        <w:tc>
          <w:tcPr>
            <w:tcW w:w="593" w:type="dxa"/>
            <w:tcBorders>
              <w:top w:val="nil"/>
              <w:left w:val="nil"/>
              <w:bottom w:val="nil"/>
              <w:right w:val="nil"/>
            </w:tcBorders>
            <w:tcMar>
              <w:top w:w="0" w:type="dxa"/>
              <w:left w:w="62" w:type="dxa"/>
              <w:bottom w:w="0" w:type="dxa"/>
              <w:right w:w="62" w:type="dxa"/>
            </w:tcMar>
          </w:tcPr>
          <w:p w:rsidR="00000000" w:rsidP="003C78B2">
            <w:pPr>
              <w:pStyle w:val="BodyText"/>
              <w:rPr>
                <w:lang w:val="en-NZ"/>
              </w:rPr>
            </w:pPr>
            <w:r w:rsidRPr="003C78B2">
              <w:rPr>
                <w:rStyle w:val="SpecialBold"/>
              </w:rPr>
              <w:t>1.1</w:t>
            </w:r>
          </w:p>
        </w:tc>
        <w:tc>
          <w:tcPr>
            <w:tcW w:w="4685" w:type="dxa"/>
            <w:tcBorders>
              <w:top w:val="nil"/>
              <w:left w:val="nil"/>
              <w:bottom w:val="nil"/>
              <w:right w:val="nil"/>
            </w:tcBorders>
            <w:tcMar>
              <w:top w:w="0" w:type="dxa"/>
              <w:left w:w="62" w:type="dxa"/>
              <w:bottom w:w="0" w:type="dxa"/>
              <w:right w:w="62" w:type="dxa"/>
            </w:tcMar>
          </w:tcPr>
          <w:p w:rsidR="00000000" w:rsidP="003C78B2">
            <w:pPr>
              <w:pStyle w:val="BodyText"/>
              <w:rPr>
                <w:lang w:val="en-NZ"/>
              </w:rPr>
            </w:pPr>
            <w:r w:rsidRPr="003C78B2">
              <w:t xml:space="preserve">Work, Health and Safety (WHS)/Occupational Health and Safety (OHS) requirements are implemented  </w:t>
            </w:r>
          </w:p>
        </w:tc>
      </w:tr>
      <w:tr w:rsidTr="003C78B2">
        <w:tblPrEx>
          <w:tblW w:w="9498" w:type="dxa"/>
          <w:tblLayout w:type="fixed"/>
          <w:tblCellMar>
            <w:left w:w="62" w:type="dxa"/>
            <w:right w:w="62" w:type="dxa"/>
          </w:tblCellMar>
          <w:tblLook w:val="0000"/>
        </w:tblPrEx>
        <w:trPr>
          <w:trHeight w:val="36"/>
        </w:trPr>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817" w:type="dxa"/>
            <w:tcBorders>
              <w:top w:val="nil"/>
              <w:left w:val="nil"/>
              <w:bottom w:val="nil"/>
              <w:right w:val="nil"/>
            </w:tcBorders>
            <w:tcMar>
              <w:top w:w="0" w:type="dxa"/>
              <w:left w:w="62" w:type="dxa"/>
              <w:bottom w:w="0" w:type="dxa"/>
              <w:right w:w="62" w:type="dxa"/>
            </w:tcMar>
          </w:tcPr>
          <w:p w:rsidR="00000000" w:rsidRPr="003C78B2">
            <w:pPr>
              <w:pStyle w:val="BodyText"/>
              <w:keepLines w:val="0"/>
            </w:pPr>
          </w:p>
        </w:tc>
        <w:tc>
          <w:tcPr>
            <w:tcW w:w="593" w:type="dxa"/>
            <w:tcBorders>
              <w:top w:val="nil"/>
              <w:left w:val="nil"/>
              <w:bottom w:val="nil"/>
              <w:right w:val="nil"/>
            </w:tcBorders>
            <w:tcMar>
              <w:top w:w="0" w:type="dxa"/>
              <w:left w:w="62" w:type="dxa"/>
              <w:bottom w:w="0" w:type="dxa"/>
              <w:right w:w="62" w:type="dxa"/>
            </w:tcMar>
          </w:tcPr>
          <w:p w:rsidR="00000000" w:rsidP="003C78B2">
            <w:pPr>
              <w:pStyle w:val="BodyText"/>
              <w:rPr>
                <w:lang w:val="en-NZ"/>
              </w:rPr>
            </w:pPr>
            <w:r w:rsidRPr="003C78B2">
              <w:rPr>
                <w:rStyle w:val="SpecialBold"/>
              </w:rPr>
              <w:t>1.2</w:t>
            </w:r>
          </w:p>
        </w:tc>
        <w:tc>
          <w:tcPr>
            <w:tcW w:w="4685" w:type="dxa"/>
            <w:tcBorders>
              <w:top w:val="nil"/>
              <w:left w:val="nil"/>
              <w:bottom w:val="nil"/>
              <w:right w:val="nil"/>
            </w:tcBorders>
            <w:tcMar>
              <w:top w:w="0" w:type="dxa"/>
              <w:left w:w="62" w:type="dxa"/>
              <w:bottom w:w="0" w:type="dxa"/>
              <w:right w:w="62" w:type="dxa"/>
            </w:tcMar>
          </w:tcPr>
          <w:p w:rsidR="00000000" w:rsidP="003C78B2">
            <w:pPr>
              <w:pStyle w:val="BodyText"/>
              <w:rPr>
                <w:lang w:val="en-NZ"/>
              </w:rPr>
            </w:pPr>
            <w:r w:rsidRPr="003C78B2">
              <w:t>Organisational procedures for preparing and loading product are followed</w:t>
            </w:r>
          </w:p>
        </w:tc>
      </w:tr>
      <w:tr w:rsidTr="003C78B2">
        <w:tblPrEx>
          <w:tblW w:w="9498" w:type="dxa"/>
          <w:tblLayout w:type="fixed"/>
          <w:tblCellMar>
            <w:left w:w="62" w:type="dxa"/>
            <w:right w:w="62" w:type="dxa"/>
          </w:tblCellMar>
          <w:tblLook w:val="0000"/>
        </w:tblPrEx>
        <w:trPr>
          <w:trHeight w:val="36"/>
        </w:trPr>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817" w:type="dxa"/>
            <w:tcBorders>
              <w:top w:val="nil"/>
              <w:left w:val="nil"/>
              <w:bottom w:val="nil"/>
              <w:right w:val="nil"/>
            </w:tcBorders>
            <w:tcMar>
              <w:top w:w="0" w:type="dxa"/>
              <w:left w:w="62" w:type="dxa"/>
              <w:bottom w:w="0" w:type="dxa"/>
              <w:right w:w="62" w:type="dxa"/>
            </w:tcMar>
          </w:tcPr>
          <w:p w:rsidR="00000000" w:rsidRPr="003C78B2">
            <w:pPr>
              <w:pStyle w:val="BodyText"/>
              <w:keepLines w:val="0"/>
            </w:pPr>
          </w:p>
        </w:tc>
        <w:tc>
          <w:tcPr>
            <w:tcW w:w="593" w:type="dxa"/>
            <w:tcBorders>
              <w:top w:val="nil"/>
              <w:left w:val="nil"/>
              <w:bottom w:val="nil"/>
              <w:right w:val="nil"/>
            </w:tcBorders>
            <w:tcMar>
              <w:top w:w="0" w:type="dxa"/>
              <w:left w:w="62" w:type="dxa"/>
              <w:bottom w:w="0" w:type="dxa"/>
              <w:right w:w="62" w:type="dxa"/>
            </w:tcMar>
          </w:tcPr>
          <w:p w:rsidR="00000000" w:rsidP="003C78B2">
            <w:pPr>
              <w:pStyle w:val="BodyText"/>
              <w:rPr>
                <w:lang w:val="en-NZ"/>
              </w:rPr>
            </w:pPr>
            <w:r w:rsidRPr="003C78B2">
              <w:rPr>
                <w:rStyle w:val="SpecialBold"/>
              </w:rPr>
              <w:t>1.3</w:t>
            </w:r>
          </w:p>
        </w:tc>
        <w:tc>
          <w:tcPr>
            <w:tcW w:w="4685" w:type="dxa"/>
            <w:tcBorders>
              <w:top w:val="nil"/>
              <w:left w:val="nil"/>
              <w:bottom w:val="nil"/>
              <w:right w:val="nil"/>
            </w:tcBorders>
            <w:tcMar>
              <w:top w:w="0" w:type="dxa"/>
              <w:left w:w="62" w:type="dxa"/>
              <w:bottom w:w="0" w:type="dxa"/>
              <w:right w:w="62" w:type="dxa"/>
            </w:tcMar>
          </w:tcPr>
          <w:p w:rsidR="00000000" w:rsidP="003C78B2">
            <w:pPr>
              <w:pStyle w:val="BodyText"/>
              <w:rPr>
                <w:lang w:val="en-NZ"/>
              </w:rPr>
            </w:pPr>
            <w:r w:rsidRPr="003C78B2">
              <w:t xml:space="preserve">Personal protective clothing and equipment suitable for the product being used is worn and used correctly </w:t>
            </w:r>
          </w:p>
        </w:tc>
      </w:tr>
      <w:tr w:rsidTr="003C78B2">
        <w:tblPrEx>
          <w:tblW w:w="9498" w:type="dxa"/>
          <w:tblLayout w:type="fixed"/>
          <w:tblCellMar>
            <w:left w:w="62" w:type="dxa"/>
            <w:right w:w="62" w:type="dxa"/>
          </w:tblCellMar>
          <w:tblLook w:val="0000"/>
        </w:tblPrEx>
        <w:trPr>
          <w:trHeight w:val="36"/>
        </w:trPr>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817" w:type="dxa"/>
            <w:tcBorders>
              <w:top w:val="nil"/>
              <w:left w:val="nil"/>
              <w:bottom w:val="nil"/>
              <w:right w:val="nil"/>
            </w:tcBorders>
            <w:tcMar>
              <w:top w:w="0" w:type="dxa"/>
              <w:left w:w="62" w:type="dxa"/>
              <w:bottom w:w="0" w:type="dxa"/>
              <w:right w:w="62" w:type="dxa"/>
            </w:tcMar>
          </w:tcPr>
          <w:p w:rsidR="00000000" w:rsidRPr="003C78B2">
            <w:pPr>
              <w:pStyle w:val="BodyText"/>
              <w:keepLines w:val="0"/>
            </w:pPr>
          </w:p>
        </w:tc>
        <w:tc>
          <w:tcPr>
            <w:tcW w:w="593" w:type="dxa"/>
            <w:tcBorders>
              <w:top w:val="nil"/>
              <w:left w:val="nil"/>
              <w:bottom w:val="nil"/>
              <w:right w:val="nil"/>
            </w:tcBorders>
            <w:tcMar>
              <w:top w:w="0" w:type="dxa"/>
              <w:left w:w="62" w:type="dxa"/>
              <w:bottom w:w="0" w:type="dxa"/>
              <w:right w:w="62" w:type="dxa"/>
            </w:tcMar>
          </w:tcPr>
          <w:p w:rsidR="00000000" w:rsidP="003C78B2">
            <w:pPr>
              <w:pStyle w:val="BodyText"/>
              <w:rPr>
                <w:lang w:val="en-NZ"/>
              </w:rPr>
            </w:pPr>
            <w:r w:rsidRPr="003C78B2">
              <w:rPr>
                <w:rStyle w:val="SpecialBold"/>
              </w:rPr>
              <w:t>1.4</w:t>
            </w:r>
          </w:p>
        </w:tc>
        <w:tc>
          <w:tcPr>
            <w:tcW w:w="4685" w:type="dxa"/>
            <w:tcBorders>
              <w:top w:val="nil"/>
              <w:left w:val="nil"/>
              <w:bottom w:val="nil"/>
              <w:right w:val="nil"/>
            </w:tcBorders>
            <w:tcMar>
              <w:top w:w="0" w:type="dxa"/>
              <w:left w:w="62" w:type="dxa"/>
              <w:bottom w:w="0" w:type="dxa"/>
              <w:right w:w="62" w:type="dxa"/>
            </w:tcMar>
          </w:tcPr>
          <w:p w:rsidR="00000000" w:rsidP="003C78B2">
            <w:pPr>
              <w:pStyle w:val="BodyText"/>
              <w:rPr>
                <w:lang w:val="en-NZ"/>
              </w:rPr>
            </w:pPr>
            <w:r w:rsidRPr="003C78B2">
              <w:t>Site and job hazards are identified and reported, risks are assessed and control measures are implemented</w:t>
            </w:r>
          </w:p>
        </w:tc>
      </w:tr>
      <w:tr w:rsidTr="003C78B2">
        <w:tblPrEx>
          <w:tblW w:w="9498" w:type="dxa"/>
          <w:tblLayout w:type="fixed"/>
          <w:tblCellMar>
            <w:left w:w="62" w:type="dxa"/>
            <w:right w:w="62" w:type="dxa"/>
          </w:tblCellMar>
          <w:tblLook w:val="0000"/>
        </w:tblPrEx>
        <w:trPr>
          <w:trHeight w:val="36"/>
        </w:trPr>
        <w:tc>
          <w:tcPr>
            <w:tcW w:w="403" w:type="dxa"/>
            <w:tcBorders>
              <w:top w:val="nil"/>
              <w:left w:val="nil"/>
              <w:bottom w:val="nil"/>
              <w:right w:val="nil"/>
            </w:tcBorders>
            <w:tcMar>
              <w:top w:w="0" w:type="dxa"/>
              <w:left w:w="62" w:type="dxa"/>
              <w:bottom w:w="0" w:type="dxa"/>
              <w:right w:w="62" w:type="dxa"/>
            </w:tcMar>
          </w:tcPr>
          <w:p w:rsidR="00000000" w:rsidRPr="003C78B2" w:rsidP="003C78B2">
            <w:pPr>
              <w:pStyle w:val="BodyText"/>
            </w:pPr>
            <w:r w:rsidRPr="003C78B2">
              <w:rPr>
                <w:rStyle w:val="SpecialBold"/>
              </w:rPr>
              <w:t>2</w:t>
            </w:r>
          </w:p>
        </w:tc>
        <w:tc>
          <w:tcPr>
            <w:tcW w:w="3817" w:type="dxa"/>
            <w:tcBorders>
              <w:top w:val="nil"/>
              <w:left w:val="nil"/>
              <w:bottom w:val="nil"/>
              <w:right w:val="nil"/>
            </w:tcBorders>
            <w:tcMar>
              <w:top w:w="0" w:type="dxa"/>
              <w:left w:w="62" w:type="dxa"/>
              <w:bottom w:w="0" w:type="dxa"/>
              <w:right w:w="62" w:type="dxa"/>
            </w:tcMar>
          </w:tcPr>
          <w:p w:rsidR="00000000" w:rsidRPr="003C78B2" w:rsidP="003C78B2">
            <w:pPr>
              <w:pStyle w:val="BodyText"/>
            </w:pPr>
            <w:r w:rsidRPr="003C78B2">
              <w:rPr>
                <w:rStyle w:val="SpecialBold"/>
              </w:rPr>
              <w:t>Protect water supplies and the en</w:t>
            </w:r>
            <w:r w:rsidRPr="003C78B2">
              <w:rPr>
                <w:rStyle w:val="SpecialBold"/>
              </w:rPr>
              <w:t>vironment</w:t>
            </w:r>
          </w:p>
        </w:tc>
        <w:tc>
          <w:tcPr>
            <w:tcW w:w="593" w:type="dxa"/>
            <w:tcBorders>
              <w:top w:val="nil"/>
              <w:left w:val="nil"/>
              <w:bottom w:val="nil"/>
              <w:right w:val="nil"/>
            </w:tcBorders>
            <w:tcMar>
              <w:top w:w="0" w:type="dxa"/>
              <w:left w:w="62" w:type="dxa"/>
              <w:bottom w:w="0" w:type="dxa"/>
              <w:right w:w="62" w:type="dxa"/>
            </w:tcMar>
          </w:tcPr>
          <w:p w:rsidR="00000000" w:rsidP="003C78B2">
            <w:pPr>
              <w:pStyle w:val="BodyText"/>
              <w:rPr>
                <w:lang w:val="en-NZ"/>
              </w:rPr>
            </w:pPr>
            <w:r w:rsidRPr="003C78B2">
              <w:rPr>
                <w:rStyle w:val="SpecialBold"/>
              </w:rPr>
              <w:t>2.1</w:t>
            </w:r>
          </w:p>
        </w:tc>
        <w:tc>
          <w:tcPr>
            <w:tcW w:w="4685" w:type="dxa"/>
            <w:tcBorders>
              <w:top w:val="nil"/>
              <w:left w:val="nil"/>
              <w:bottom w:val="nil"/>
              <w:right w:val="nil"/>
            </w:tcBorders>
            <w:tcMar>
              <w:top w:w="0" w:type="dxa"/>
              <w:left w:w="62" w:type="dxa"/>
              <w:bottom w:w="0" w:type="dxa"/>
              <w:right w:w="62" w:type="dxa"/>
            </w:tcMar>
          </w:tcPr>
          <w:p w:rsidR="00000000" w:rsidP="003C78B2">
            <w:pPr>
              <w:pStyle w:val="BodyText"/>
              <w:rPr>
                <w:lang w:val="en-NZ"/>
              </w:rPr>
            </w:pPr>
            <w:r w:rsidRPr="003C78B2">
              <w:t xml:space="preserve">Site for preparing and loading product is located to ensure water supplies and the environment are not contaminated </w:t>
            </w:r>
          </w:p>
        </w:tc>
      </w:tr>
      <w:tr w:rsidTr="003C78B2">
        <w:tblPrEx>
          <w:tblW w:w="9498" w:type="dxa"/>
          <w:tblLayout w:type="fixed"/>
          <w:tblCellMar>
            <w:left w:w="62" w:type="dxa"/>
            <w:right w:w="62" w:type="dxa"/>
          </w:tblCellMar>
          <w:tblLook w:val="0000"/>
        </w:tblPrEx>
        <w:trPr>
          <w:trHeight w:val="36"/>
        </w:trPr>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817" w:type="dxa"/>
            <w:tcBorders>
              <w:top w:val="nil"/>
              <w:left w:val="nil"/>
              <w:bottom w:val="nil"/>
              <w:right w:val="nil"/>
            </w:tcBorders>
            <w:tcMar>
              <w:top w:w="0" w:type="dxa"/>
              <w:left w:w="62" w:type="dxa"/>
              <w:bottom w:w="0" w:type="dxa"/>
              <w:right w:w="62" w:type="dxa"/>
            </w:tcMar>
          </w:tcPr>
          <w:p w:rsidR="00000000" w:rsidRPr="003C78B2">
            <w:pPr>
              <w:pStyle w:val="BodyText"/>
              <w:keepLines w:val="0"/>
            </w:pPr>
          </w:p>
        </w:tc>
        <w:tc>
          <w:tcPr>
            <w:tcW w:w="593" w:type="dxa"/>
            <w:tcBorders>
              <w:top w:val="nil"/>
              <w:left w:val="nil"/>
              <w:bottom w:val="nil"/>
              <w:right w:val="nil"/>
            </w:tcBorders>
            <w:tcMar>
              <w:top w:w="0" w:type="dxa"/>
              <w:left w:w="62" w:type="dxa"/>
              <w:bottom w:w="0" w:type="dxa"/>
              <w:right w:w="62" w:type="dxa"/>
            </w:tcMar>
          </w:tcPr>
          <w:p w:rsidR="00000000" w:rsidP="003C78B2">
            <w:pPr>
              <w:pStyle w:val="BodyText"/>
              <w:rPr>
                <w:lang w:val="en-NZ"/>
              </w:rPr>
            </w:pPr>
            <w:r w:rsidRPr="003C78B2">
              <w:rPr>
                <w:rStyle w:val="SpecialBold"/>
              </w:rPr>
              <w:t>2.2</w:t>
            </w:r>
          </w:p>
        </w:tc>
        <w:tc>
          <w:tcPr>
            <w:tcW w:w="4685" w:type="dxa"/>
            <w:tcBorders>
              <w:top w:val="nil"/>
              <w:left w:val="nil"/>
              <w:bottom w:val="nil"/>
              <w:right w:val="nil"/>
            </w:tcBorders>
            <w:tcMar>
              <w:top w:w="0" w:type="dxa"/>
              <w:left w:w="62" w:type="dxa"/>
              <w:bottom w:w="0" w:type="dxa"/>
              <w:right w:w="62" w:type="dxa"/>
            </w:tcMar>
          </w:tcPr>
          <w:p w:rsidR="00000000" w:rsidP="003C78B2">
            <w:pPr>
              <w:pStyle w:val="BodyText"/>
              <w:rPr>
                <w:lang w:val="en-NZ"/>
              </w:rPr>
            </w:pPr>
            <w:r w:rsidRPr="003C78B2">
              <w:t xml:space="preserve">Preventative actions are undertaken to protect water supplies and the environment </w:t>
            </w:r>
          </w:p>
        </w:tc>
      </w:tr>
      <w:tr w:rsidTr="003C78B2">
        <w:tblPrEx>
          <w:tblW w:w="9498" w:type="dxa"/>
          <w:tblLayout w:type="fixed"/>
          <w:tblCellMar>
            <w:left w:w="62" w:type="dxa"/>
            <w:right w:w="62" w:type="dxa"/>
          </w:tblCellMar>
          <w:tblLook w:val="0000"/>
        </w:tblPrEx>
        <w:trPr>
          <w:trHeight w:val="36"/>
        </w:trPr>
        <w:tc>
          <w:tcPr>
            <w:tcW w:w="403" w:type="dxa"/>
            <w:tcBorders>
              <w:top w:val="nil"/>
              <w:left w:val="nil"/>
              <w:bottom w:val="nil"/>
              <w:right w:val="nil"/>
            </w:tcBorders>
            <w:tcMar>
              <w:top w:w="0" w:type="dxa"/>
              <w:left w:w="62" w:type="dxa"/>
              <w:bottom w:w="0" w:type="dxa"/>
              <w:right w:w="62" w:type="dxa"/>
            </w:tcMar>
          </w:tcPr>
          <w:p w:rsidR="00000000" w:rsidRPr="003C78B2" w:rsidP="003C78B2">
            <w:pPr>
              <w:pStyle w:val="BodyText"/>
            </w:pPr>
            <w:r w:rsidRPr="003C78B2">
              <w:rPr>
                <w:rStyle w:val="SpecialBold"/>
              </w:rPr>
              <w:t>3</w:t>
            </w:r>
          </w:p>
        </w:tc>
        <w:tc>
          <w:tcPr>
            <w:tcW w:w="3817" w:type="dxa"/>
            <w:tcBorders>
              <w:top w:val="nil"/>
              <w:left w:val="nil"/>
              <w:bottom w:val="nil"/>
              <w:right w:val="nil"/>
            </w:tcBorders>
            <w:tcMar>
              <w:top w:w="0" w:type="dxa"/>
              <w:left w:w="62" w:type="dxa"/>
              <w:bottom w:w="0" w:type="dxa"/>
              <w:right w:w="62" w:type="dxa"/>
            </w:tcMar>
          </w:tcPr>
          <w:p w:rsidR="00000000" w:rsidRPr="003C78B2" w:rsidP="003C78B2">
            <w:pPr>
              <w:pStyle w:val="BodyText"/>
            </w:pPr>
            <w:r w:rsidRPr="003C78B2">
              <w:rPr>
                <w:rStyle w:val="SpecialBold"/>
              </w:rPr>
              <w:t>Operate and maintai</w:t>
            </w:r>
            <w:r w:rsidRPr="003C78B2">
              <w:rPr>
                <w:rStyle w:val="SpecialBold"/>
              </w:rPr>
              <w:t>n small equipment to prepare and load product</w:t>
            </w:r>
          </w:p>
        </w:tc>
        <w:tc>
          <w:tcPr>
            <w:tcW w:w="593" w:type="dxa"/>
            <w:tcBorders>
              <w:top w:val="nil"/>
              <w:left w:val="nil"/>
              <w:bottom w:val="nil"/>
              <w:right w:val="nil"/>
            </w:tcBorders>
            <w:tcMar>
              <w:top w:w="0" w:type="dxa"/>
              <w:left w:w="62" w:type="dxa"/>
              <w:bottom w:w="0" w:type="dxa"/>
              <w:right w:w="62" w:type="dxa"/>
            </w:tcMar>
          </w:tcPr>
          <w:p w:rsidR="00000000" w:rsidP="003C78B2">
            <w:pPr>
              <w:pStyle w:val="BodyText"/>
              <w:rPr>
                <w:lang w:val="en-NZ"/>
              </w:rPr>
            </w:pPr>
            <w:r w:rsidRPr="003C78B2">
              <w:rPr>
                <w:rStyle w:val="SpecialBold"/>
              </w:rPr>
              <w:t>3.1</w:t>
            </w:r>
          </w:p>
        </w:tc>
        <w:tc>
          <w:tcPr>
            <w:tcW w:w="4685" w:type="dxa"/>
            <w:tcBorders>
              <w:top w:val="nil"/>
              <w:left w:val="nil"/>
              <w:bottom w:val="nil"/>
              <w:right w:val="nil"/>
            </w:tcBorders>
            <w:tcMar>
              <w:top w:w="0" w:type="dxa"/>
              <w:left w:w="62" w:type="dxa"/>
              <w:bottom w:w="0" w:type="dxa"/>
              <w:right w:w="62" w:type="dxa"/>
            </w:tcMar>
          </w:tcPr>
          <w:p w:rsidR="00000000" w:rsidP="003C78B2">
            <w:pPr>
              <w:pStyle w:val="BodyText"/>
              <w:rPr>
                <w:lang w:val="en-NZ"/>
              </w:rPr>
            </w:pPr>
            <w:r w:rsidRPr="003C78B2">
              <w:t>Small equipment for preparing and/or loading product is set up and operated in accordance with manufacturers</w:t>
            </w:r>
            <w:r>
              <w:t>’</w:t>
            </w:r>
            <w:r w:rsidRPr="003C78B2">
              <w:t xml:space="preserve"> instructions</w:t>
            </w:r>
          </w:p>
        </w:tc>
      </w:tr>
      <w:tr w:rsidTr="003C78B2">
        <w:tblPrEx>
          <w:tblW w:w="9498" w:type="dxa"/>
          <w:tblLayout w:type="fixed"/>
          <w:tblCellMar>
            <w:left w:w="62" w:type="dxa"/>
            <w:right w:w="62" w:type="dxa"/>
          </w:tblCellMar>
          <w:tblLook w:val="0000"/>
        </w:tblPrEx>
        <w:trPr>
          <w:trHeight w:val="36"/>
        </w:trPr>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817" w:type="dxa"/>
            <w:tcBorders>
              <w:top w:val="nil"/>
              <w:left w:val="nil"/>
              <w:bottom w:val="nil"/>
              <w:right w:val="nil"/>
            </w:tcBorders>
            <w:tcMar>
              <w:top w:w="0" w:type="dxa"/>
              <w:left w:w="62" w:type="dxa"/>
              <w:bottom w:w="0" w:type="dxa"/>
              <w:right w:w="62" w:type="dxa"/>
            </w:tcMar>
          </w:tcPr>
          <w:p w:rsidR="00000000" w:rsidRPr="003C78B2">
            <w:pPr>
              <w:pStyle w:val="BodyText"/>
              <w:keepLines w:val="0"/>
            </w:pPr>
          </w:p>
        </w:tc>
        <w:tc>
          <w:tcPr>
            <w:tcW w:w="593" w:type="dxa"/>
            <w:tcBorders>
              <w:top w:val="nil"/>
              <w:left w:val="nil"/>
              <w:bottom w:val="nil"/>
              <w:right w:val="nil"/>
            </w:tcBorders>
            <w:tcMar>
              <w:top w:w="0" w:type="dxa"/>
              <w:left w:w="62" w:type="dxa"/>
              <w:bottom w:w="0" w:type="dxa"/>
              <w:right w:w="62" w:type="dxa"/>
            </w:tcMar>
          </w:tcPr>
          <w:p w:rsidR="00000000" w:rsidP="003C78B2">
            <w:pPr>
              <w:pStyle w:val="BodyText"/>
              <w:rPr>
                <w:lang w:val="en-NZ"/>
              </w:rPr>
            </w:pPr>
            <w:r w:rsidRPr="003C78B2">
              <w:rPr>
                <w:rStyle w:val="SpecialBold"/>
              </w:rPr>
              <w:t>3.2</w:t>
            </w:r>
          </w:p>
        </w:tc>
        <w:tc>
          <w:tcPr>
            <w:tcW w:w="4685" w:type="dxa"/>
            <w:tcBorders>
              <w:top w:val="nil"/>
              <w:left w:val="nil"/>
              <w:bottom w:val="nil"/>
              <w:right w:val="nil"/>
            </w:tcBorders>
            <w:tcMar>
              <w:top w:w="0" w:type="dxa"/>
              <w:left w:w="62" w:type="dxa"/>
              <w:bottom w:w="0" w:type="dxa"/>
              <w:right w:w="62" w:type="dxa"/>
            </w:tcMar>
          </w:tcPr>
          <w:p w:rsidR="00000000" w:rsidP="003C78B2">
            <w:pPr>
              <w:pStyle w:val="BodyText"/>
              <w:rPr>
                <w:lang w:val="en-NZ"/>
              </w:rPr>
            </w:pPr>
            <w:r w:rsidRPr="003C78B2">
              <w:t xml:space="preserve">Issues with operation of equipment are resolved through systematic checking </w:t>
            </w:r>
            <w:r w:rsidRPr="003C78B2">
              <w:t>of factors that may affect operation</w:t>
            </w:r>
          </w:p>
        </w:tc>
      </w:tr>
      <w:tr w:rsidTr="003C78B2">
        <w:tblPrEx>
          <w:tblW w:w="9498" w:type="dxa"/>
          <w:tblLayout w:type="fixed"/>
          <w:tblCellMar>
            <w:left w:w="62" w:type="dxa"/>
            <w:right w:w="62" w:type="dxa"/>
          </w:tblCellMar>
          <w:tblLook w:val="0000"/>
        </w:tblPrEx>
        <w:trPr>
          <w:trHeight w:val="36"/>
        </w:trPr>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817" w:type="dxa"/>
            <w:tcBorders>
              <w:top w:val="nil"/>
              <w:left w:val="nil"/>
              <w:bottom w:val="nil"/>
              <w:right w:val="nil"/>
            </w:tcBorders>
            <w:tcMar>
              <w:top w:w="0" w:type="dxa"/>
              <w:left w:w="62" w:type="dxa"/>
              <w:bottom w:w="0" w:type="dxa"/>
              <w:right w:w="62" w:type="dxa"/>
            </w:tcMar>
          </w:tcPr>
          <w:p w:rsidR="00000000" w:rsidRPr="003C78B2">
            <w:pPr>
              <w:pStyle w:val="BodyText"/>
              <w:keepLines w:val="0"/>
            </w:pPr>
          </w:p>
        </w:tc>
        <w:tc>
          <w:tcPr>
            <w:tcW w:w="593" w:type="dxa"/>
            <w:tcBorders>
              <w:top w:val="nil"/>
              <w:left w:val="nil"/>
              <w:bottom w:val="nil"/>
              <w:right w:val="nil"/>
            </w:tcBorders>
            <w:tcMar>
              <w:top w:w="0" w:type="dxa"/>
              <w:left w:w="62" w:type="dxa"/>
              <w:bottom w:w="0" w:type="dxa"/>
              <w:right w:w="62" w:type="dxa"/>
            </w:tcMar>
          </w:tcPr>
          <w:p w:rsidR="00000000" w:rsidP="003C78B2">
            <w:pPr>
              <w:pStyle w:val="BodyText"/>
              <w:rPr>
                <w:lang w:val="en-NZ"/>
              </w:rPr>
            </w:pPr>
            <w:r w:rsidRPr="003C78B2">
              <w:rPr>
                <w:rStyle w:val="SpecialBold"/>
              </w:rPr>
              <w:t>3.3</w:t>
            </w:r>
          </w:p>
        </w:tc>
        <w:tc>
          <w:tcPr>
            <w:tcW w:w="4685" w:type="dxa"/>
            <w:tcBorders>
              <w:top w:val="nil"/>
              <w:left w:val="nil"/>
              <w:bottom w:val="nil"/>
              <w:right w:val="nil"/>
            </w:tcBorders>
            <w:tcMar>
              <w:top w:w="0" w:type="dxa"/>
              <w:left w:w="62" w:type="dxa"/>
              <w:bottom w:w="0" w:type="dxa"/>
              <w:right w:w="62" w:type="dxa"/>
            </w:tcMar>
          </w:tcPr>
          <w:p w:rsidR="00000000" w:rsidP="003C78B2">
            <w:pPr>
              <w:pStyle w:val="BodyText"/>
              <w:rPr>
                <w:lang w:val="en-NZ"/>
              </w:rPr>
            </w:pPr>
            <w:r w:rsidRPr="003C78B2">
              <w:t>Equipment is cleaned and maintained in accordance with manufacturers</w:t>
            </w:r>
            <w:r>
              <w:t>’</w:t>
            </w:r>
            <w:r w:rsidRPr="003C78B2">
              <w:t xml:space="preserve"> instructions.</w:t>
            </w:r>
          </w:p>
        </w:tc>
      </w:tr>
      <w:tr w:rsidTr="003C78B2">
        <w:tblPrEx>
          <w:tblW w:w="9498" w:type="dxa"/>
          <w:tblLayout w:type="fixed"/>
          <w:tblCellMar>
            <w:left w:w="62" w:type="dxa"/>
            <w:right w:w="62" w:type="dxa"/>
          </w:tblCellMar>
          <w:tblLook w:val="0000"/>
        </w:tblPrEx>
        <w:trPr>
          <w:trHeight w:val="36"/>
        </w:trPr>
        <w:tc>
          <w:tcPr>
            <w:tcW w:w="403" w:type="dxa"/>
            <w:tcBorders>
              <w:top w:val="nil"/>
              <w:left w:val="nil"/>
              <w:bottom w:val="nil"/>
              <w:right w:val="nil"/>
            </w:tcBorders>
            <w:tcMar>
              <w:top w:w="0" w:type="dxa"/>
              <w:left w:w="62" w:type="dxa"/>
              <w:bottom w:w="0" w:type="dxa"/>
              <w:right w:w="62" w:type="dxa"/>
            </w:tcMar>
          </w:tcPr>
          <w:p w:rsidR="00000000" w:rsidRPr="003C78B2" w:rsidP="003C78B2">
            <w:pPr>
              <w:pStyle w:val="BodyText"/>
            </w:pPr>
            <w:r w:rsidRPr="003C78B2">
              <w:rPr>
                <w:rStyle w:val="SpecialBold"/>
              </w:rPr>
              <w:t>4</w:t>
            </w:r>
          </w:p>
        </w:tc>
        <w:tc>
          <w:tcPr>
            <w:tcW w:w="3817" w:type="dxa"/>
            <w:tcBorders>
              <w:top w:val="nil"/>
              <w:left w:val="nil"/>
              <w:bottom w:val="nil"/>
              <w:right w:val="nil"/>
            </w:tcBorders>
            <w:tcMar>
              <w:top w:w="0" w:type="dxa"/>
              <w:left w:w="62" w:type="dxa"/>
              <w:bottom w:w="0" w:type="dxa"/>
              <w:right w:w="62" w:type="dxa"/>
            </w:tcMar>
          </w:tcPr>
          <w:p w:rsidR="00000000" w:rsidRPr="003C78B2" w:rsidP="003C78B2">
            <w:pPr>
              <w:pStyle w:val="BodyText"/>
            </w:pPr>
            <w:r w:rsidRPr="003C78B2">
              <w:rPr>
                <w:rStyle w:val="SpecialBold"/>
              </w:rPr>
              <w:t>Load product into aircraft</w:t>
            </w:r>
          </w:p>
        </w:tc>
        <w:tc>
          <w:tcPr>
            <w:tcW w:w="593" w:type="dxa"/>
            <w:tcBorders>
              <w:top w:val="nil"/>
              <w:left w:val="nil"/>
              <w:bottom w:val="nil"/>
              <w:right w:val="nil"/>
            </w:tcBorders>
            <w:tcMar>
              <w:top w:w="0" w:type="dxa"/>
              <w:left w:w="62" w:type="dxa"/>
              <w:bottom w:w="0" w:type="dxa"/>
              <w:right w:w="62" w:type="dxa"/>
            </w:tcMar>
          </w:tcPr>
          <w:p w:rsidR="00000000" w:rsidP="003C78B2">
            <w:pPr>
              <w:pStyle w:val="BodyText"/>
              <w:rPr>
                <w:lang w:val="en-NZ"/>
              </w:rPr>
            </w:pPr>
            <w:r w:rsidRPr="003C78B2">
              <w:rPr>
                <w:rStyle w:val="SpecialBold"/>
              </w:rPr>
              <w:t>4.1</w:t>
            </w:r>
          </w:p>
        </w:tc>
        <w:tc>
          <w:tcPr>
            <w:tcW w:w="4685" w:type="dxa"/>
            <w:tcBorders>
              <w:top w:val="nil"/>
              <w:left w:val="nil"/>
              <w:bottom w:val="nil"/>
              <w:right w:val="nil"/>
            </w:tcBorders>
            <w:tcMar>
              <w:top w:w="0" w:type="dxa"/>
              <w:left w:w="62" w:type="dxa"/>
              <w:bottom w:w="0" w:type="dxa"/>
              <w:right w:w="62" w:type="dxa"/>
            </w:tcMar>
          </w:tcPr>
          <w:p w:rsidR="00000000" w:rsidP="003C78B2">
            <w:pPr>
              <w:pStyle w:val="BodyText"/>
              <w:rPr>
                <w:lang w:val="en-NZ"/>
              </w:rPr>
            </w:pPr>
            <w:r w:rsidRPr="003C78B2">
              <w:t>Equipment required to load product is attached to aircraft under pilot supervision</w:t>
            </w:r>
          </w:p>
        </w:tc>
      </w:tr>
      <w:tr w:rsidTr="003C78B2">
        <w:tblPrEx>
          <w:tblW w:w="9498" w:type="dxa"/>
          <w:tblLayout w:type="fixed"/>
          <w:tblCellMar>
            <w:left w:w="62" w:type="dxa"/>
            <w:right w:w="62" w:type="dxa"/>
          </w:tblCellMar>
          <w:tblLook w:val="0000"/>
        </w:tblPrEx>
        <w:trPr>
          <w:trHeight w:val="23"/>
        </w:trPr>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817" w:type="dxa"/>
            <w:tcBorders>
              <w:top w:val="nil"/>
              <w:left w:val="nil"/>
              <w:bottom w:val="nil"/>
              <w:right w:val="nil"/>
            </w:tcBorders>
            <w:tcMar>
              <w:top w:w="0" w:type="dxa"/>
              <w:left w:w="62" w:type="dxa"/>
              <w:bottom w:w="0" w:type="dxa"/>
              <w:right w:w="62" w:type="dxa"/>
            </w:tcMar>
          </w:tcPr>
          <w:p w:rsidR="00000000" w:rsidRPr="003C78B2">
            <w:pPr>
              <w:pStyle w:val="BodyText"/>
              <w:keepLines w:val="0"/>
            </w:pPr>
          </w:p>
        </w:tc>
        <w:tc>
          <w:tcPr>
            <w:tcW w:w="593" w:type="dxa"/>
            <w:tcBorders>
              <w:top w:val="nil"/>
              <w:left w:val="nil"/>
              <w:bottom w:val="nil"/>
              <w:right w:val="nil"/>
            </w:tcBorders>
            <w:tcMar>
              <w:top w:w="0" w:type="dxa"/>
              <w:left w:w="62" w:type="dxa"/>
              <w:bottom w:w="0" w:type="dxa"/>
              <w:right w:w="62" w:type="dxa"/>
            </w:tcMar>
          </w:tcPr>
          <w:p w:rsidR="00000000" w:rsidP="003C78B2">
            <w:pPr>
              <w:pStyle w:val="BodyText"/>
              <w:rPr>
                <w:lang w:val="en-NZ"/>
              </w:rPr>
            </w:pPr>
            <w:r w:rsidRPr="003C78B2">
              <w:rPr>
                <w:rStyle w:val="SpecialBold"/>
              </w:rPr>
              <w:t>4.2</w:t>
            </w:r>
          </w:p>
        </w:tc>
        <w:tc>
          <w:tcPr>
            <w:tcW w:w="4685" w:type="dxa"/>
            <w:tcBorders>
              <w:top w:val="nil"/>
              <w:left w:val="nil"/>
              <w:bottom w:val="nil"/>
              <w:right w:val="nil"/>
            </w:tcBorders>
            <w:tcMar>
              <w:top w:w="0" w:type="dxa"/>
              <w:left w:w="62" w:type="dxa"/>
              <w:bottom w:w="0" w:type="dxa"/>
              <w:right w:w="62" w:type="dxa"/>
            </w:tcMar>
          </w:tcPr>
          <w:p w:rsidR="00000000" w:rsidP="003C78B2">
            <w:pPr>
              <w:pStyle w:val="BodyText"/>
              <w:rPr>
                <w:lang w:val="en-NZ"/>
              </w:rPr>
            </w:pPr>
            <w:r w:rsidRPr="003C78B2">
              <w:t>Product is transferred to aircraft under pilot supervision</w:t>
            </w:r>
          </w:p>
        </w:tc>
      </w:tr>
      <w:tr w:rsidTr="003C78B2">
        <w:tblPrEx>
          <w:tblW w:w="9498" w:type="dxa"/>
          <w:tblLayout w:type="fixed"/>
          <w:tblCellMar>
            <w:left w:w="62" w:type="dxa"/>
            <w:right w:w="62" w:type="dxa"/>
          </w:tblCellMar>
          <w:tblLook w:val="0000"/>
        </w:tblPrEx>
        <w:trPr>
          <w:trHeight w:val="36"/>
        </w:trPr>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817" w:type="dxa"/>
            <w:tcBorders>
              <w:top w:val="nil"/>
              <w:left w:val="nil"/>
              <w:bottom w:val="nil"/>
              <w:right w:val="nil"/>
            </w:tcBorders>
            <w:tcMar>
              <w:top w:w="0" w:type="dxa"/>
              <w:left w:w="62" w:type="dxa"/>
              <w:bottom w:w="0" w:type="dxa"/>
              <w:right w:w="62" w:type="dxa"/>
            </w:tcMar>
          </w:tcPr>
          <w:p w:rsidR="00000000" w:rsidRPr="003C78B2">
            <w:pPr>
              <w:pStyle w:val="BodyText"/>
              <w:keepLines w:val="0"/>
            </w:pPr>
          </w:p>
        </w:tc>
        <w:tc>
          <w:tcPr>
            <w:tcW w:w="593" w:type="dxa"/>
            <w:tcBorders>
              <w:top w:val="nil"/>
              <w:left w:val="nil"/>
              <w:bottom w:val="nil"/>
              <w:right w:val="nil"/>
            </w:tcBorders>
            <w:tcMar>
              <w:top w:w="0" w:type="dxa"/>
              <w:left w:w="62" w:type="dxa"/>
              <w:bottom w:w="0" w:type="dxa"/>
              <w:right w:w="62" w:type="dxa"/>
            </w:tcMar>
          </w:tcPr>
          <w:p w:rsidR="00000000" w:rsidP="003C78B2">
            <w:pPr>
              <w:pStyle w:val="BodyText"/>
              <w:rPr>
                <w:lang w:val="en-NZ"/>
              </w:rPr>
            </w:pPr>
            <w:r w:rsidRPr="003C78B2">
              <w:rPr>
                <w:rStyle w:val="SpecialBold"/>
              </w:rPr>
              <w:t>4.3</w:t>
            </w:r>
          </w:p>
        </w:tc>
        <w:tc>
          <w:tcPr>
            <w:tcW w:w="4685" w:type="dxa"/>
            <w:tcBorders>
              <w:top w:val="nil"/>
              <w:left w:val="nil"/>
              <w:bottom w:val="nil"/>
              <w:right w:val="nil"/>
            </w:tcBorders>
            <w:tcMar>
              <w:top w:w="0" w:type="dxa"/>
              <w:left w:w="62" w:type="dxa"/>
              <w:bottom w:w="0" w:type="dxa"/>
              <w:right w:w="62" w:type="dxa"/>
            </w:tcMar>
          </w:tcPr>
          <w:p w:rsidR="00000000" w:rsidP="003C78B2">
            <w:pPr>
              <w:pStyle w:val="BodyText"/>
              <w:rPr>
                <w:lang w:val="en-NZ"/>
              </w:rPr>
            </w:pPr>
            <w:r w:rsidRPr="003C78B2">
              <w:t>Equipment is cleaned, as required, at the conclusion of the operation</w:t>
            </w:r>
          </w:p>
        </w:tc>
      </w:tr>
      <w:tr w:rsidTr="003C78B2">
        <w:tblPrEx>
          <w:tblW w:w="9498" w:type="dxa"/>
          <w:tblLayout w:type="fixed"/>
          <w:tblCellMar>
            <w:left w:w="62" w:type="dxa"/>
            <w:right w:w="62" w:type="dxa"/>
          </w:tblCellMar>
          <w:tblLook w:val="0000"/>
        </w:tblPrEx>
        <w:trPr>
          <w:trHeight w:val="41"/>
        </w:trPr>
        <w:tc>
          <w:tcPr>
            <w:tcW w:w="403" w:type="dxa"/>
            <w:tcBorders>
              <w:top w:val="nil"/>
              <w:left w:val="nil"/>
              <w:bottom w:val="nil"/>
              <w:right w:val="nil"/>
            </w:tcBorders>
            <w:tcMar>
              <w:top w:w="0" w:type="dxa"/>
              <w:left w:w="62" w:type="dxa"/>
              <w:bottom w:w="0" w:type="dxa"/>
              <w:right w:w="62" w:type="dxa"/>
            </w:tcMar>
          </w:tcPr>
          <w:p w:rsidR="00000000" w:rsidRPr="003C78B2" w:rsidP="003C78B2">
            <w:pPr>
              <w:pStyle w:val="BodyText"/>
            </w:pPr>
            <w:r w:rsidRPr="003C78B2">
              <w:rPr>
                <w:rStyle w:val="SpecialBold"/>
              </w:rPr>
              <w:t>5</w:t>
            </w:r>
          </w:p>
        </w:tc>
        <w:tc>
          <w:tcPr>
            <w:tcW w:w="3817" w:type="dxa"/>
            <w:tcBorders>
              <w:top w:val="nil"/>
              <w:left w:val="nil"/>
              <w:bottom w:val="nil"/>
              <w:right w:val="nil"/>
            </w:tcBorders>
            <w:tcMar>
              <w:top w:w="0" w:type="dxa"/>
              <w:left w:w="62" w:type="dxa"/>
              <w:bottom w:w="0" w:type="dxa"/>
              <w:right w:w="62" w:type="dxa"/>
            </w:tcMar>
          </w:tcPr>
          <w:p w:rsidR="00000000" w:rsidRPr="003C78B2" w:rsidP="003C78B2">
            <w:pPr>
              <w:pStyle w:val="BodyText"/>
            </w:pPr>
            <w:r w:rsidRPr="003C78B2">
              <w:rPr>
                <w:rStyle w:val="SpecialBold"/>
              </w:rPr>
              <w:t>Respond to product spillage</w:t>
            </w:r>
          </w:p>
        </w:tc>
        <w:tc>
          <w:tcPr>
            <w:tcW w:w="593" w:type="dxa"/>
            <w:tcBorders>
              <w:top w:val="nil"/>
              <w:left w:val="nil"/>
              <w:bottom w:val="nil"/>
              <w:right w:val="nil"/>
            </w:tcBorders>
            <w:tcMar>
              <w:top w:w="0" w:type="dxa"/>
              <w:left w:w="62" w:type="dxa"/>
              <w:bottom w:w="0" w:type="dxa"/>
              <w:right w:w="62" w:type="dxa"/>
            </w:tcMar>
          </w:tcPr>
          <w:p w:rsidR="00000000" w:rsidRPr="003C78B2" w:rsidP="003C78B2">
            <w:pPr>
              <w:pStyle w:val="BodyText"/>
            </w:pPr>
            <w:r w:rsidRPr="003C78B2">
              <w:rPr>
                <w:rStyle w:val="SpecialBold"/>
              </w:rPr>
              <w:t>5.1</w:t>
            </w:r>
          </w:p>
          <w:p w:rsidR="00000000">
            <w:pPr>
              <w:pStyle w:val="BodyText"/>
              <w:keepLines w:val="0"/>
              <w:rPr>
                <w:rFonts w:ascii="Tahoma" w:hAnsi="Tahoma"/>
                <w:sz w:val="20"/>
                <w:lang w:val="en-NZ"/>
              </w:rPr>
            </w:pPr>
          </w:p>
        </w:tc>
        <w:tc>
          <w:tcPr>
            <w:tcW w:w="4685" w:type="dxa"/>
            <w:tcBorders>
              <w:top w:val="nil"/>
              <w:left w:val="nil"/>
              <w:bottom w:val="nil"/>
              <w:right w:val="nil"/>
            </w:tcBorders>
            <w:tcMar>
              <w:top w:w="0" w:type="dxa"/>
              <w:left w:w="62" w:type="dxa"/>
              <w:bottom w:w="0" w:type="dxa"/>
              <w:right w:w="62" w:type="dxa"/>
            </w:tcMar>
          </w:tcPr>
          <w:p w:rsidR="00000000" w:rsidP="003C78B2">
            <w:pPr>
              <w:pStyle w:val="BodyText"/>
              <w:rPr>
                <w:lang w:val="en-NZ"/>
              </w:rPr>
            </w:pPr>
            <w:r w:rsidRPr="003C78B2">
              <w:t>Appropriate organisational procedures are implemented for product spillage</w:t>
            </w:r>
          </w:p>
        </w:tc>
      </w:tr>
      <w:tr w:rsidTr="003C78B2">
        <w:tblPrEx>
          <w:tblW w:w="9498" w:type="dxa"/>
          <w:tblLayout w:type="fixed"/>
          <w:tblCellMar>
            <w:left w:w="62" w:type="dxa"/>
            <w:right w:w="62" w:type="dxa"/>
          </w:tblCellMar>
          <w:tblLook w:val="0000"/>
        </w:tblPrEx>
        <w:trPr>
          <w:trHeight w:val="36"/>
        </w:trPr>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817" w:type="dxa"/>
            <w:tcBorders>
              <w:top w:val="nil"/>
              <w:left w:val="nil"/>
              <w:bottom w:val="nil"/>
              <w:right w:val="nil"/>
            </w:tcBorders>
            <w:tcMar>
              <w:top w:w="0" w:type="dxa"/>
              <w:left w:w="62" w:type="dxa"/>
              <w:bottom w:w="0" w:type="dxa"/>
              <w:right w:w="62" w:type="dxa"/>
            </w:tcMar>
          </w:tcPr>
          <w:p w:rsidR="00000000" w:rsidRPr="003C78B2">
            <w:pPr>
              <w:pStyle w:val="BodyText"/>
              <w:keepLines w:val="0"/>
            </w:pPr>
          </w:p>
        </w:tc>
        <w:tc>
          <w:tcPr>
            <w:tcW w:w="593" w:type="dxa"/>
            <w:tcBorders>
              <w:top w:val="nil"/>
              <w:left w:val="nil"/>
              <w:bottom w:val="nil"/>
              <w:right w:val="nil"/>
            </w:tcBorders>
            <w:tcMar>
              <w:top w:w="0" w:type="dxa"/>
              <w:left w:w="62" w:type="dxa"/>
              <w:bottom w:w="0" w:type="dxa"/>
              <w:right w:w="62" w:type="dxa"/>
            </w:tcMar>
          </w:tcPr>
          <w:p w:rsidR="00000000" w:rsidP="003C78B2">
            <w:pPr>
              <w:pStyle w:val="BodyText"/>
              <w:rPr>
                <w:lang w:val="en-NZ"/>
              </w:rPr>
            </w:pPr>
            <w:r w:rsidRPr="003C78B2">
              <w:rPr>
                <w:rStyle w:val="SpecialBold"/>
              </w:rPr>
              <w:t>5.2</w:t>
            </w:r>
          </w:p>
        </w:tc>
        <w:tc>
          <w:tcPr>
            <w:tcW w:w="4685" w:type="dxa"/>
            <w:tcBorders>
              <w:top w:val="nil"/>
              <w:left w:val="nil"/>
              <w:bottom w:val="nil"/>
              <w:right w:val="nil"/>
            </w:tcBorders>
            <w:tcMar>
              <w:top w:w="0" w:type="dxa"/>
              <w:left w:w="62" w:type="dxa"/>
              <w:bottom w:w="0" w:type="dxa"/>
              <w:right w:w="62" w:type="dxa"/>
            </w:tcMar>
          </w:tcPr>
          <w:p w:rsidR="00000000" w:rsidP="003C78B2">
            <w:pPr>
              <w:pStyle w:val="BodyText"/>
              <w:rPr>
                <w:lang w:val="en-NZ"/>
              </w:rPr>
            </w:pPr>
            <w:r w:rsidRPr="003C78B2">
              <w:t>Emergency and first aid procedures on Safety Data Sheets for product are followed</w:t>
            </w:r>
          </w:p>
        </w:tc>
      </w:tr>
      <w:tr w:rsidTr="003C78B2">
        <w:tblPrEx>
          <w:tblW w:w="9498" w:type="dxa"/>
          <w:tblLayout w:type="fixed"/>
          <w:tblCellMar>
            <w:left w:w="62" w:type="dxa"/>
            <w:right w:w="62" w:type="dxa"/>
          </w:tblCellMar>
          <w:tblLook w:val="0000"/>
        </w:tblPrEx>
        <w:trPr>
          <w:trHeight w:val="36"/>
        </w:trPr>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817" w:type="dxa"/>
            <w:tcBorders>
              <w:top w:val="nil"/>
              <w:left w:val="nil"/>
              <w:bottom w:val="nil"/>
              <w:right w:val="nil"/>
            </w:tcBorders>
            <w:tcMar>
              <w:top w:w="0" w:type="dxa"/>
              <w:left w:w="62" w:type="dxa"/>
              <w:bottom w:w="0" w:type="dxa"/>
              <w:right w:w="62" w:type="dxa"/>
            </w:tcMar>
          </w:tcPr>
          <w:p w:rsidR="00000000" w:rsidRPr="003C78B2">
            <w:pPr>
              <w:pStyle w:val="BodyText"/>
              <w:keepLines w:val="0"/>
            </w:pPr>
          </w:p>
        </w:tc>
        <w:tc>
          <w:tcPr>
            <w:tcW w:w="593" w:type="dxa"/>
            <w:tcBorders>
              <w:top w:val="nil"/>
              <w:left w:val="nil"/>
              <w:bottom w:val="nil"/>
              <w:right w:val="nil"/>
            </w:tcBorders>
            <w:tcMar>
              <w:top w:w="0" w:type="dxa"/>
              <w:left w:w="62" w:type="dxa"/>
              <w:bottom w:w="0" w:type="dxa"/>
              <w:right w:w="62" w:type="dxa"/>
            </w:tcMar>
          </w:tcPr>
          <w:p w:rsidR="00000000" w:rsidP="003C78B2">
            <w:pPr>
              <w:pStyle w:val="BodyText"/>
              <w:rPr>
                <w:lang w:val="en-NZ"/>
              </w:rPr>
            </w:pPr>
            <w:r w:rsidRPr="003C78B2">
              <w:rPr>
                <w:rStyle w:val="SpecialBold"/>
              </w:rPr>
              <w:t>5.3</w:t>
            </w:r>
          </w:p>
        </w:tc>
        <w:tc>
          <w:tcPr>
            <w:tcW w:w="4685" w:type="dxa"/>
            <w:tcBorders>
              <w:top w:val="nil"/>
              <w:left w:val="nil"/>
              <w:bottom w:val="nil"/>
              <w:right w:val="nil"/>
            </w:tcBorders>
            <w:tcMar>
              <w:top w:w="0" w:type="dxa"/>
              <w:left w:w="62" w:type="dxa"/>
              <w:bottom w:w="0" w:type="dxa"/>
              <w:right w:w="62" w:type="dxa"/>
            </w:tcMar>
          </w:tcPr>
          <w:p w:rsidR="00000000" w:rsidRPr="003C78B2" w:rsidP="003C78B2">
            <w:pPr>
              <w:pStyle w:val="BodyText"/>
            </w:pPr>
            <w:r w:rsidRPr="003C78B2">
              <w:t>Persons affected by product spillage are washed using eye, hand and shower facilities, as appropriate, and a report is filed</w:t>
            </w:r>
          </w:p>
        </w:tc>
      </w:tr>
    </w:tbl>
    <w:p w:rsidR="00000000" w:rsidRPr="003C78B2" w:rsidP="003C78B2">
      <w:pPr>
        <w:pStyle w:val="NoPaddingFontSize1"/>
      </w:pPr>
    </w:p>
    <w:p w:rsidR="00000000" w:rsidRPr="003C78B2" w:rsidP="003C78B2">
      <w:pPr>
        <w:pStyle w:val="AllowPageBreak"/>
      </w:pPr>
    </w:p>
    <w:p w:rsidR="00000000" w:rsidRPr="003C78B2" w:rsidP="003C78B2">
      <w:pPr>
        <w:pStyle w:val="Heading1"/>
      </w:pPr>
      <w:bookmarkStart w:id="7" w:name="O_1154212"/>
      <w:bookmarkEnd w:id="7"/>
      <w:r w:rsidRPr="003C78B2">
        <w:t>Foundation Skills</w:t>
      </w:r>
    </w:p>
    <w:tbl>
      <w:tblPr>
        <w:tblW w:w="9497" w:type="dxa"/>
        <w:tblLayout w:type="fixed"/>
        <w:tblCellMar>
          <w:left w:w="62" w:type="dxa"/>
          <w:right w:w="62" w:type="dxa"/>
        </w:tblCellMar>
        <w:tblLook w:val="0000"/>
      </w:tblPr>
      <w:tblGrid>
        <w:gridCol w:w="9497"/>
      </w:tblGrid>
      <w:tr w:rsidTr="003C78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C78B2" w:rsidP="003C78B2">
            <w:pPr>
              <w:pStyle w:val="BodyText"/>
            </w:pPr>
            <w:r w:rsidRPr="003C78B2">
              <w:t>Fou</w:t>
            </w:r>
            <w:r w:rsidRPr="003C78B2">
              <w:t>ndation skills essential to performance are explicit in the performance criteria of this unit of competency.</w:t>
            </w:r>
          </w:p>
        </w:tc>
      </w:tr>
    </w:tbl>
    <w:p w:rsidR="00000000" w:rsidRPr="003C78B2" w:rsidP="003C78B2">
      <w:pPr>
        <w:pStyle w:val="NoPaddingFontSize1"/>
      </w:pPr>
    </w:p>
    <w:p w:rsidR="00000000" w:rsidRPr="003C78B2" w:rsidP="003C78B2">
      <w:pPr>
        <w:pStyle w:val="AllowPageBreak"/>
      </w:pPr>
    </w:p>
    <w:p w:rsidR="00000000" w:rsidRPr="003C78B2" w:rsidP="003C78B2">
      <w:pPr>
        <w:pStyle w:val="Heading1"/>
      </w:pPr>
      <w:bookmarkStart w:id="8" w:name="O_1154213"/>
      <w:bookmarkEnd w:id="8"/>
      <w:r w:rsidRPr="003C78B2">
        <w:t>Range of Conditions</w:t>
      </w:r>
    </w:p>
    <w:tbl>
      <w:tblPr>
        <w:tblW w:w="9497" w:type="dxa"/>
        <w:tblLayout w:type="fixed"/>
        <w:tblCellMar>
          <w:left w:w="62" w:type="dxa"/>
          <w:right w:w="62" w:type="dxa"/>
        </w:tblCellMar>
        <w:tblLook w:val="0000"/>
      </w:tblPr>
      <w:tblGrid>
        <w:gridCol w:w="9497"/>
      </w:tblGrid>
      <w:tr w:rsidTr="003C78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C78B2" w:rsidP="003C78B2">
            <w:pPr>
              <w:pStyle w:val="BodyText"/>
            </w:pPr>
            <w:r w:rsidRPr="003C78B2">
              <w:t xml:space="preserve">Range is restricted to essential operating conditions and any other </w:t>
            </w:r>
            <w:r w:rsidRPr="003C78B2">
              <w:t>variables essential to the work environment.</w:t>
            </w:r>
          </w:p>
          <w:p w:rsidR="00000000" w:rsidRPr="003C78B2" w:rsidP="003C78B2">
            <w:pPr>
              <w:pStyle w:val="BodyText"/>
            </w:pPr>
            <w:r w:rsidRPr="003C78B2">
              <w:t>Non-essential conditions may be found in the PUA Public Safety Training Package Companion Volume Implementation Guide.</w:t>
            </w:r>
          </w:p>
        </w:tc>
      </w:tr>
    </w:tbl>
    <w:p w:rsidR="00000000" w:rsidRPr="003C78B2" w:rsidP="003C78B2">
      <w:pPr>
        <w:pStyle w:val="NoPaddingFontSize1"/>
      </w:pPr>
    </w:p>
    <w:p w:rsidR="00000000" w:rsidRPr="003C78B2" w:rsidP="003C78B2">
      <w:pPr>
        <w:pStyle w:val="AllowPageBreak"/>
      </w:pPr>
    </w:p>
    <w:p w:rsidR="00000000" w:rsidRPr="003C78B2" w:rsidP="003C78B2">
      <w:pPr>
        <w:pStyle w:val="Heading1"/>
      </w:pPr>
      <w:bookmarkStart w:id="9" w:name="O_1154214"/>
      <w:bookmarkEnd w:id="9"/>
      <w:r w:rsidRPr="003C78B2">
        <w:t>Unit Mapping Information</w:t>
      </w:r>
    </w:p>
    <w:tbl>
      <w:tblPr>
        <w:tblW w:w="9497" w:type="dxa"/>
        <w:tblLayout w:type="fixed"/>
        <w:tblCellMar>
          <w:left w:w="62" w:type="dxa"/>
          <w:right w:w="62" w:type="dxa"/>
        </w:tblCellMar>
        <w:tblLook w:val="0000"/>
      </w:tblPr>
      <w:tblGrid>
        <w:gridCol w:w="9497"/>
      </w:tblGrid>
      <w:tr w:rsidTr="003C78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C78B2" w:rsidP="003C78B2">
            <w:pPr>
              <w:pStyle w:val="BodyText"/>
            </w:pPr>
            <w:r w:rsidRPr="003C78B2">
              <w:t>This is a newly created unit, there is no equi</w:t>
            </w:r>
            <w:r w:rsidRPr="003C78B2">
              <w:t>valent unit.</w:t>
            </w:r>
          </w:p>
        </w:tc>
      </w:tr>
    </w:tbl>
    <w:p w:rsidR="00000000" w:rsidRPr="003C78B2" w:rsidP="003C78B2">
      <w:pPr>
        <w:pStyle w:val="NoPaddingFontSize1"/>
      </w:pPr>
    </w:p>
    <w:p w:rsidR="00000000" w:rsidRPr="003C78B2" w:rsidP="003C78B2">
      <w:pPr>
        <w:pStyle w:val="AllowPageBreak"/>
      </w:pPr>
    </w:p>
    <w:p w:rsidR="00000000" w:rsidRPr="003C78B2" w:rsidP="003C78B2">
      <w:pPr>
        <w:pStyle w:val="Heading1"/>
      </w:pPr>
      <w:bookmarkStart w:id="10" w:name="O_1154221"/>
      <w:bookmarkEnd w:id="10"/>
      <w:r w:rsidRPr="003C78B2">
        <w:t>Links</w:t>
      </w:r>
    </w:p>
    <w:p w:rsidR="00000000" w:rsidRPr="003C78B2" w:rsidP="0095532E">
      <w:pPr>
        <w:pStyle w:val="BodyText"/>
      </w:pPr>
      <w:r w:rsidRPr="003C78B2">
        <w:t xml:space="preserve">Companion Volume Implementation Guides are found in VETNet - </w:t>
      </w:r>
      <w:r>
        <w:fldChar w:fldCharType="begin"/>
      </w:r>
      <w:r>
        <w:instrText xml:space="preserve"> HYPERLINK "https://vetnet.gov.au/Pages/TrainingDocs.aspx?q=3eca5672-6d5a-410b-8942-810d0ba05bbf" </w:instrText>
      </w:r>
      <w:r>
        <w:fldChar w:fldCharType="separate"/>
      </w:r>
      <w:r w:rsidRPr="00174C22">
        <w:rPr>
          <w:rStyle w:val="Hyperlink"/>
        </w:rPr>
        <w:t>https://vetnet.gov.au/Pages/TrainingDocs.aspx?q=3eca5672-6d5a-410b-8942-810d0ba05bbf</w:t>
      </w:r>
      <w:r>
        <w:fldChar w:fldCharType="end"/>
      </w:r>
    </w:p>
    <w:p w:rsidR="00000000" w:rsidRPr="003C78B2" w:rsidP="003C78B2"/>
    <w:sectPr w:rsidSect="003C78B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78B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78B2" w:rsidRPr="0095532E" w:rsidP="0095532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78B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532E" w:rsidP="003C78B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5532E" w:rsidP="003C78B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95532E" w:rsidP="003C78B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78B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532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C78B2" w:rsidRPr="0095532E" w:rsidP="0095532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78B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532E" w:rsidRPr="002D2AF8" w:rsidP="003C78B2">
    <w:pPr>
      <w:pStyle w:val="Header"/>
      <w:framePr w:wrap="around"/>
    </w:pPr>
    <w:r>
      <w:fldChar w:fldCharType="begin"/>
    </w:r>
    <w:r>
      <w:instrText xml:space="preserve"> TITLE   \* MERGEFORMAT </w:instrText>
    </w:r>
    <w:r>
      <w:fldChar w:fldCharType="separate"/>
    </w:r>
    <w:r>
      <w:t>PUAFIR010 Operate small equipment to prepare and load product into aircraft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December 2022</w:t>
    </w:r>
    <w:r>
      <w:fldChar w:fldCharType="end"/>
    </w:r>
  </w:p>
  <w:p w:rsidR="0095532E" w:rsidP="003C78B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78B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C78B2"/>
    <w:pPr>
      <w:spacing w:before="360" w:after="60"/>
      <w:outlineLvl w:val="0"/>
    </w:pPr>
    <w:rPr>
      <w:sz w:val="32"/>
    </w:rPr>
  </w:style>
  <w:style w:type="paragraph" w:styleId="Heading2">
    <w:name w:val="heading 2"/>
    <w:basedOn w:val="HeadingBase"/>
    <w:next w:val="BodyText"/>
    <w:link w:val="Heading2Char"/>
    <w:qFormat/>
    <w:rsid w:val="003C78B2"/>
    <w:pPr>
      <w:keepLines/>
      <w:spacing w:before="240" w:after="120"/>
      <w:outlineLvl w:val="1"/>
    </w:pPr>
    <w:rPr>
      <w:sz w:val="28"/>
      <w:szCs w:val="40"/>
    </w:rPr>
  </w:style>
  <w:style w:type="paragraph" w:styleId="Heading3">
    <w:name w:val="heading 3"/>
    <w:basedOn w:val="HeadingBase"/>
    <w:next w:val="BodyText"/>
    <w:link w:val="Heading3Char"/>
    <w:qFormat/>
    <w:rsid w:val="003C78B2"/>
    <w:pPr>
      <w:spacing w:before="180" w:after="120"/>
      <w:outlineLvl w:val="2"/>
    </w:pPr>
    <w:rPr>
      <w:spacing w:val="-10"/>
      <w:kern w:val="32"/>
    </w:rPr>
  </w:style>
  <w:style w:type="paragraph" w:styleId="Heading4">
    <w:name w:val="heading 4"/>
    <w:basedOn w:val="HeadingBase"/>
    <w:next w:val="BodyText"/>
    <w:link w:val="Heading4Char"/>
    <w:qFormat/>
    <w:rsid w:val="003C78B2"/>
    <w:pPr>
      <w:spacing w:before="160" w:after="120"/>
      <w:outlineLvl w:val="3"/>
    </w:pPr>
    <w:rPr>
      <w:sz w:val="22"/>
    </w:rPr>
  </w:style>
  <w:style w:type="paragraph" w:styleId="Heading5">
    <w:name w:val="heading 5"/>
    <w:basedOn w:val="HeadingBase"/>
    <w:next w:val="Normal"/>
    <w:link w:val="Heading5Char"/>
    <w:qFormat/>
    <w:rsid w:val="003C78B2"/>
    <w:pPr>
      <w:spacing w:before="80"/>
      <w:outlineLvl w:val="4"/>
    </w:pPr>
    <w:rPr>
      <w:color w:val="918585"/>
      <w:sz w:val="20"/>
    </w:rPr>
  </w:style>
  <w:style w:type="paragraph" w:styleId="Heading6">
    <w:name w:val="heading 6"/>
    <w:basedOn w:val="HeadingBase"/>
    <w:next w:val="Normal"/>
    <w:link w:val="Heading6Char"/>
    <w:qFormat/>
    <w:rsid w:val="003C78B2"/>
    <w:pPr>
      <w:spacing w:before="60"/>
      <w:outlineLvl w:val="5"/>
    </w:pPr>
    <w:rPr>
      <w:color w:val="918585"/>
      <w:sz w:val="20"/>
    </w:rPr>
  </w:style>
  <w:style w:type="paragraph" w:styleId="Heading7">
    <w:name w:val="heading 7"/>
    <w:basedOn w:val="Normal"/>
    <w:next w:val="Normal"/>
    <w:link w:val="Heading7Char"/>
    <w:qFormat/>
    <w:rsid w:val="003C78B2"/>
    <w:pPr>
      <w:ind w:left="720"/>
      <w:outlineLvl w:val="6"/>
    </w:pPr>
    <w:rPr>
      <w:i/>
    </w:rPr>
  </w:style>
  <w:style w:type="paragraph" w:styleId="Heading8">
    <w:name w:val="heading 8"/>
    <w:basedOn w:val="Normal"/>
    <w:next w:val="Normal"/>
    <w:link w:val="Heading8Char"/>
    <w:qFormat/>
    <w:rsid w:val="003C78B2"/>
    <w:pPr>
      <w:ind w:left="720"/>
      <w:outlineLvl w:val="7"/>
    </w:pPr>
    <w:rPr>
      <w:i/>
    </w:rPr>
  </w:style>
  <w:style w:type="paragraph" w:styleId="Heading9">
    <w:name w:val="heading 9"/>
    <w:basedOn w:val="Normal"/>
    <w:next w:val="Normal"/>
    <w:link w:val="Heading9Char"/>
    <w:qFormat/>
    <w:rsid w:val="003C78B2"/>
    <w:pPr>
      <w:ind w:left="720"/>
      <w:outlineLvl w:val="8"/>
    </w:pPr>
    <w:rPr>
      <w:i/>
    </w:rPr>
  </w:style>
  <w:style w:type="character" w:default="1" w:styleId="DefaultParagraphFont">
    <w:name w:val="Default Paragraph Font"/>
    <w:uiPriority w:val="1"/>
    <w:unhideWhenUsed/>
    <w:rsid w:val="003C78B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C78B2"/>
  </w:style>
  <w:style w:type="character" w:customStyle="1" w:styleId="Heading1Char">
    <w:name w:val="Heading 1 Char"/>
    <w:basedOn w:val="DefaultParagraphFont"/>
    <w:link w:val="Heading1"/>
    <w:rsid w:val="003C78B2"/>
    <w:rPr>
      <w:rFonts w:ascii="Times New Roman" w:eastAsia="Times New Roman" w:hAnsi="Times New Roman" w:cs="Times New Roman"/>
      <w:b/>
      <w:sz w:val="32"/>
      <w:szCs w:val="20"/>
      <w:lang w:eastAsia="en-US"/>
    </w:rPr>
  </w:style>
  <w:style w:type="paragraph" w:styleId="BodyText">
    <w:name w:val="Body Text"/>
    <w:basedOn w:val="Normal"/>
    <w:link w:val="BodyTextChar"/>
    <w:rsid w:val="003C78B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C78B2"/>
    <w:rPr>
      <w:rFonts w:ascii="Times New Roman" w:eastAsia="Times New Roman" w:hAnsi="Times New Roman" w:cs="Times New Roman"/>
      <w:sz w:val="24"/>
      <w:lang w:eastAsia="en-US"/>
    </w:rPr>
  </w:style>
  <w:style w:type="character" w:customStyle="1" w:styleId="SpecialBold">
    <w:name w:val="Special Bold"/>
    <w:basedOn w:val="DefaultParagraphFont"/>
    <w:rsid w:val="003C78B2"/>
    <w:rPr>
      <w:b/>
      <w:spacing w:val="0"/>
    </w:rPr>
  </w:style>
  <w:style w:type="paragraph" w:customStyle="1" w:styleId="SuperHeading">
    <w:name w:val="SuperHeading"/>
    <w:basedOn w:val="Normal"/>
    <w:rsid w:val="003C78B2"/>
    <w:pPr>
      <w:spacing w:before="240" w:after="120"/>
      <w:outlineLvl w:val="0"/>
    </w:pPr>
    <w:rPr>
      <w:rFonts w:ascii="Times New Roman" w:hAnsi="Times New Roman"/>
      <w:b/>
      <w:sz w:val="32"/>
    </w:rPr>
  </w:style>
  <w:style w:type="paragraph" w:customStyle="1" w:styleId="AllowPageBreak">
    <w:name w:val="AllowPageBreak"/>
    <w:rsid w:val="003C78B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C78B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C78B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C78B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C78B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C78B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C78B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C78B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C78B2"/>
    <w:rPr>
      <w:rFonts w:ascii="Courier New" w:eastAsia="Times New Roman" w:hAnsi="Courier New" w:cs="Times New Roman"/>
      <w:i/>
      <w:szCs w:val="20"/>
      <w:lang w:eastAsia="en-US"/>
    </w:rPr>
  </w:style>
  <w:style w:type="paragraph" w:customStyle="1" w:styleId="HeadingBase">
    <w:name w:val="Heading Base"/>
    <w:rsid w:val="003C78B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C78B2"/>
    <w:pPr>
      <w:tabs>
        <w:tab w:val="right" w:leader="dot" w:pos="9072"/>
      </w:tabs>
      <w:ind w:left="567"/>
    </w:pPr>
    <w:rPr>
      <w:szCs w:val="22"/>
    </w:rPr>
  </w:style>
  <w:style w:type="paragraph" w:customStyle="1" w:styleId="TOCBase">
    <w:name w:val="TOC Base"/>
    <w:rsid w:val="003C78B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C78B2"/>
    <w:pPr>
      <w:tabs>
        <w:tab w:val="right" w:leader="dot" w:pos="9072"/>
      </w:tabs>
      <w:spacing w:before="40" w:after="40"/>
      <w:ind w:left="284"/>
    </w:pPr>
    <w:rPr>
      <w:rFonts w:ascii="Times New Roman" w:hAnsi="Times New Roman"/>
    </w:rPr>
  </w:style>
  <w:style w:type="paragraph" w:styleId="TOC1">
    <w:name w:val="toc 1"/>
    <w:basedOn w:val="TOCBase"/>
    <w:next w:val="Normal"/>
    <w:rsid w:val="003C78B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C78B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C78B2"/>
    <w:rPr>
      <w:rFonts w:ascii="Times New Roman" w:eastAsia="Times New Roman" w:hAnsi="Times New Roman" w:cs="Times New Roman"/>
      <w:sz w:val="16"/>
      <w:lang w:eastAsia="en-US"/>
    </w:rPr>
  </w:style>
  <w:style w:type="paragraph" w:styleId="Title">
    <w:name w:val="Title"/>
    <w:basedOn w:val="HeadingBase"/>
    <w:link w:val="TitleChar"/>
    <w:qFormat/>
    <w:rsid w:val="003C78B2"/>
    <w:pPr>
      <w:spacing w:before="5040"/>
      <w:jc w:val="center"/>
    </w:pPr>
    <w:rPr>
      <w:sz w:val="48"/>
      <w:szCs w:val="72"/>
      <w:lang w:val="en-US"/>
    </w:rPr>
  </w:style>
  <w:style w:type="character" w:customStyle="1" w:styleId="TitleChar">
    <w:name w:val="Title Char"/>
    <w:basedOn w:val="DefaultParagraphFont"/>
    <w:link w:val="Title"/>
    <w:rsid w:val="003C78B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C78B2"/>
    <w:pPr>
      <w:tabs>
        <w:tab w:val="left" w:pos="3600"/>
        <w:tab w:val="left" w:pos="3958"/>
      </w:tabs>
    </w:pPr>
  </w:style>
  <w:style w:type="paragraph" w:styleId="List">
    <w:name w:val="List"/>
    <w:basedOn w:val="BodyText"/>
    <w:next w:val="BodyText"/>
    <w:rsid w:val="003C78B2"/>
    <w:pPr>
      <w:tabs>
        <w:tab w:val="left" w:pos="340"/>
      </w:tabs>
      <w:spacing w:before="60" w:after="60"/>
      <w:ind w:left="340" w:hanging="340"/>
    </w:pPr>
  </w:style>
  <w:style w:type="paragraph" w:styleId="ListBullet">
    <w:name w:val="List Bullet"/>
    <w:basedOn w:val="List"/>
    <w:rsid w:val="003C78B2"/>
    <w:pPr>
      <w:numPr>
        <w:numId w:val="10"/>
      </w:numPr>
      <w:tabs>
        <w:tab w:val="clear" w:pos="340"/>
      </w:tabs>
      <w:spacing w:before="40" w:after="40"/>
    </w:pPr>
  </w:style>
  <w:style w:type="paragraph" w:customStyle="1" w:styleId="Note">
    <w:name w:val="Note"/>
    <w:basedOn w:val="BodyText"/>
    <w:rsid w:val="003C78B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C78B2"/>
    <w:pPr>
      <w:framePr w:wrap="auto" w:hAnchor="text" w:y="6049"/>
    </w:pPr>
    <w:rPr>
      <w:color w:val="000000"/>
      <w:sz w:val="40"/>
    </w:rPr>
  </w:style>
  <w:style w:type="paragraph" w:customStyle="1" w:styleId="TOCTitle">
    <w:name w:val="TOCTitle"/>
    <w:basedOn w:val="Heading1"/>
    <w:rsid w:val="003C78B2"/>
    <w:pPr>
      <w:spacing w:after="240"/>
      <w:jc w:val="center"/>
      <w:outlineLvl w:val="9"/>
    </w:pPr>
    <w:rPr>
      <w:caps/>
    </w:rPr>
  </w:style>
  <w:style w:type="paragraph" w:customStyle="1" w:styleId="Version">
    <w:name w:val="Version"/>
    <w:rsid w:val="003C78B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C78B2"/>
    <w:pPr>
      <w:numPr>
        <w:numId w:val="11"/>
      </w:numPr>
      <w:tabs>
        <w:tab w:val="clear" w:pos="680"/>
      </w:tabs>
    </w:pPr>
  </w:style>
  <w:style w:type="paragraph" w:styleId="Index1">
    <w:name w:val="index 1"/>
    <w:basedOn w:val="Normal"/>
    <w:next w:val="Normal"/>
    <w:semiHidden/>
    <w:rsid w:val="003C78B2"/>
    <w:pPr>
      <w:keepNext w:val="0"/>
      <w:tabs>
        <w:tab w:val="right" w:pos="4176"/>
      </w:tabs>
      <w:ind w:left="198" w:hanging="198"/>
    </w:pPr>
    <w:rPr>
      <w:rFonts w:ascii="Garamond" w:hAnsi="Garamond"/>
    </w:rPr>
  </w:style>
  <w:style w:type="paragraph" w:styleId="IndexHeading">
    <w:name w:val="index heading"/>
    <w:basedOn w:val="Normal"/>
    <w:next w:val="Index1"/>
    <w:semiHidden/>
    <w:rsid w:val="003C78B2"/>
    <w:pPr>
      <w:spacing w:before="120" w:after="120"/>
    </w:pPr>
    <w:rPr>
      <w:rFonts w:ascii="Arial" w:hAnsi="Arial"/>
      <w:b/>
      <w:color w:val="918585"/>
      <w:sz w:val="24"/>
    </w:rPr>
  </w:style>
  <w:style w:type="paragraph" w:styleId="Header">
    <w:name w:val="header"/>
    <w:basedOn w:val="Normal"/>
    <w:link w:val="HeaderChar"/>
    <w:rsid w:val="003C78B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C78B2"/>
    <w:rPr>
      <w:rFonts w:ascii="Times New Roman" w:eastAsia="Times New Roman" w:hAnsi="Times New Roman" w:cs="Times New Roman"/>
      <w:sz w:val="16"/>
      <w:szCs w:val="20"/>
      <w:lang w:val="en-GB" w:eastAsia="en-US"/>
    </w:rPr>
  </w:style>
  <w:style w:type="paragraph" w:customStyle="1" w:styleId="Chapter">
    <w:name w:val="Chapter"/>
    <w:basedOn w:val="Normal"/>
    <w:rsid w:val="003C78B2"/>
    <w:pPr>
      <w:spacing w:before="240"/>
    </w:pPr>
    <w:rPr>
      <w:rFonts w:ascii="Times New Roman" w:hAnsi="Times New Roman"/>
      <w:smallCaps/>
      <w:spacing w:val="80"/>
      <w:sz w:val="28"/>
    </w:rPr>
  </w:style>
  <w:style w:type="paragraph" w:customStyle="1" w:styleId="InChapter">
    <w:name w:val="InChapter"/>
    <w:basedOn w:val="Heading3"/>
    <w:rsid w:val="003C78B2"/>
    <w:pPr>
      <w:spacing w:after="240"/>
      <w:outlineLvl w:val="9"/>
    </w:pPr>
    <w:rPr>
      <w:noProof/>
    </w:rPr>
  </w:style>
  <w:style w:type="paragraph" w:styleId="Index2">
    <w:name w:val="index 2"/>
    <w:basedOn w:val="Normal"/>
    <w:next w:val="Normal"/>
    <w:semiHidden/>
    <w:rsid w:val="003C78B2"/>
    <w:pPr>
      <w:tabs>
        <w:tab w:val="right" w:pos="4176"/>
      </w:tabs>
      <w:ind w:left="568" w:hanging="284"/>
    </w:pPr>
    <w:rPr>
      <w:rFonts w:ascii="Garamond" w:hAnsi="Garamond"/>
    </w:rPr>
  </w:style>
  <w:style w:type="paragraph" w:customStyle="1" w:styleId="Byline">
    <w:name w:val="Byline"/>
    <w:rsid w:val="003C78B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C78B2"/>
    <w:pPr>
      <w:tabs>
        <w:tab w:val="clear" w:pos="3600"/>
        <w:tab w:val="clear" w:pos="3958"/>
      </w:tabs>
      <w:jc w:val="right"/>
    </w:pPr>
  </w:style>
  <w:style w:type="character" w:styleId="Emphasis">
    <w:name w:val="Emphasis"/>
    <w:basedOn w:val="DefaultParagraphFont"/>
    <w:qFormat/>
    <w:rsid w:val="003C78B2"/>
    <w:rPr>
      <w:i/>
    </w:rPr>
  </w:style>
  <w:style w:type="paragraph" w:styleId="Caption">
    <w:name w:val="caption"/>
    <w:basedOn w:val="BodyText"/>
    <w:next w:val="Normal"/>
    <w:qFormat/>
    <w:rsid w:val="003C78B2"/>
    <w:pPr>
      <w:framePr w:w="2268" w:hSpace="181" w:vSpace="181" w:wrap="around" w:vAnchor="text" w:hAnchor="page" w:x="1135" w:y="285" w:anchorLock="1"/>
    </w:pPr>
    <w:rPr>
      <w:i/>
    </w:rPr>
  </w:style>
  <w:style w:type="paragraph" w:customStyle="1" w:styleId="MiniTOCTitle">
    <w:name w:val="MiniTOCTitle"/>
    <w:basedOn w:val="Heading4"/>
    <w:rsid w:val="003C78B2"/>
    <w:pPr>
      <w:spacing w:before="240"/>
      <w:outlineLvl w:val="9"/>
    </w:pPr>
    <w:rPr>
      <w:noProof/>
      <w:sz w:val="24"/>
    </w:rPr>
  </w:style>
  <w:style w:type="paragraph" w:customStyle="1" w:styleId="MiniTOCItem">
    <w:name w:val="MiniTOCItem"/>
    <w:basedOn w:val="ListBullet"/>
    <w:rsid w:val="003C78B2"/>
    <w:pPr>
      <w:numPr>
        <w:numId w:val="0"/>
      </w:numPr>
      <w:tabs>
        <w:tab w:val="right" w:leader="dot" w:pos="6521"/>
      </w:tabs>
      <w:spacing w:before="0" w:after="0"/>
    </w:pPr>
  </w:style>
  <w:style w:type="paragraph" w:customStyle="1" w:styleId="TOFTitle">
    <w:name w:val="TOFTitle"/>
    <w:basedOn w:val="TOCTitle"/>
    <w:rsid w:val="003C78B2"/>
  </w:style>
  <w:style w:type="paragraph" w:styleId="TableofFigures">
    <w:name w:val="table of figures"/>
    <w:basedOn w:val="Normal"/>
    <w:next w:val="Normal"/>
    <w:semiHidden/>
    <w:rsid w:val="003C78B2"/>
    <w:pPr>
      <w:tabs>
        <w:tab w:val="right" w:leader="dot" w:pos="9072"/>
      </w:tabs>
      <w:ind w:left="970" w:hanging="403"/>
    </w:pPr>
    <w:rPr>
      <w:rFonts w:ascii="Times New Roman" w:hAnsi="Times New Roman"/>
      <w:b/>
    </w:rPr>
  </w:style>
  <w:style w:type="paragraph" w:styleId="ListNumber">
    <w:name w:val="List Number"/>
    <w:basedOn w:val="List"/>
    <w:rsid w:val="003C78B2"/>
    <w:pPr>
      <w:numPr>
        <w:numId w:val="13"/>
      </w:numPr>
      <w:tabs>
        <w:tab w:val="clear" w:pos="340"/>
      </w:tabs>
    </w:pPr>
  </w:style>
  <w:style w:type="character" w:customStyle="1" w:styleId="WingdingSymbols">
    <w:name w:val="Wingding Symbols"/>
    <w:rsid w:val="003C78B2"/>
    <w:rPr>
      <w:rFonts w:ascii="Wingdings" w:hAnsi="Wingdings"/>
    </w:rPr>
  </w:style>
  <w:style w:type="paragraph" w:customStyle="1" w:styleId="TableHeading">
    <w:name w:val="Table Heading"/>
    <w:basedOn w:val="HeadingBase"/>
    <w:rsid w:val="003C78B2"/>
    <w:pPr>
      <w:keepLines/>
      <w:pBdr>
        <w:bottom w:val="single" w:sz="6" w:space="1" w:color="918585"/>
      </w:pBdr>
      <w:spacing w:before="240"/>
    </w:pPr>
  </w:style>
  <w:style w:type="character" w:customStyle="1" w:styleId="HotSpot">
    <w:name w:val="HotSpot"/>
    <w:rsid w:val="003C78B2"/>
    <w:rPr>
      <w:color w:val="0033CC"/>
      <w:u w:val="none"/>
    </w:rPr>
  </w:style>
  <w:style w:type="paragraph" w:customStyle="1" w:styleId="BodyTextRight">
    <w:name w:val="Body Text Right"/>
    <w:basedOn w:val="BodyText"/>
    <w:rsid w:val="003C78B2"/>
    <w:pPr>
      <w:spacing w:before="0" w:after="0"/>
      <w:jc w:val="right"/>
    </w:pPr>
  </w:style>
  <w:style w:type="paragraph" w:styleId="Index3">
    <w:name w:val="index 3"/>
    <w:basedOn w:val="ListNumber2"/>
    <w:next w:val="Normal"/>
    <w:semiHidden/>
    <w:rsid w:val="003C78B2"/>
    <w:pPr>
      <w:numPr>
        <w:numId w:val="0"/>
      </w:numPr>
      <w:tabs>
        <w:tab w:val="right" w:leader="dot" w:pos="4176"/>
      </w:tabs>
    </w:pPr>
  </w:style>
  <w:style w:type="paragraph" w:styleId="ListNumber2">
    <w:name w:val="List Number 2"/>
    <w:basedOn w:val="List2"/>
    <w:rsid w:val="003C78B2"/>
    <w:pPr>
      <w:numPr>
        <w:numId w:val="8"/>
      </w:numPr>
      <w:tabs>
        <w:tab w:val="clear" w:pos="1060"/>
      </w:tabs>
    </w:pPr>
  </w:style>
  <w:style w:type="paragraph" w:customStyle="1" w:styleId="MarginNote">
    <w:name w:val="Margin Note"/>
    <w:basedOn w:val="BodyText"/>
    <w:rsid w:val="003C78B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C78B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C78B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C78B2"/>
    <w:rPr>
      <w:sz w:val="32"/>
    </w:rPr>
  </w:style>
  <w:style w:type="paragraph" w:customStyle="1" w:styleId="HeadingProcedure">
    <w:name w:val="Heading Procedure"/>
    <w:basedOn w:val="HeadingBase"/>
    <w:next w:val="Normal"/>
    <w:rsid w:val="003C78B2"/>
    <w:pPr>
      <w:tabs>
        <w:tab w:val="left" w:pos="0"/>
      </w:tabs>
      <w:spacing w:before="120" w:after="60"/>
    </w:pPr>
    <w:rPr>
      <w:i/>
      <w:color w:val="918585"/>
      <w:sz w:val="22"/>
    </w:rPr>
  </w:style>
  <w:style w:type="paragraph" w:customStyle="1" w:styleId="TableBodyText">
    <w:name w:val="Table Body Text"/>
    <w:basedOn w:val="BodyText"/>
    <w:rsid w:val="003C78B2"/>
    <w:pPr>
      <w:spacing w:before="60" w:after="60"/>
    </w:pPr>
  </w:style>
  <w:style w:type="paragraph" w:styleId="ListContinue">
    <w:name w:val="List Continue"/>
    <w:basedOn w:val="List"/>
    <w:rsid w:val="003C78B2"/>
    <w:pPr>
      <w:ind w:firstLine="0"/>
    </w:pPr>
  </w:style>
  <w:style w:type="paragraph" w:customStyle="1" w:styleId="ListNote">
    <w:name w:val="List Note"/>
    <w:basedOn w:val="List"/>
    <w:rsid w:val="003C78B2"/>
    <w:pPr>
      <w:pBdr>
        <w:top w:val="single" w:sz="6" w:space="2" w:color="918585"/>
        <w:bottom w:val="single" w:sz="6" w:space="2" w:color="918585"/>
      </w:pBdr>
      <w:tabs>
        <w:tab w:val="left" w:pos="1021"/>
      </w:tabs>
      <w:ind w:firstLine="0"/>
    </w:pPr>
  </w:style>
  <w:style w:type="paragraph" w:customStyle="1" w:styleId="Warning">
    <w:name w:val="Warning"/>
    <w:basedOn w:val="BodyText"/>
    <w:rsid w:val="003C78B2"/>
    <w:pPr>
      <w:shd w:val="clear" w:color="auto" w:fill="D9D9D9"/>
      <w:tabs>
        <w:tab w:val="left" w:pos="992"/>
      </w:tabs>
      <w:ind w:left="119" w:right="119"/>
    </w:pPr>
    <w:rPr>
      <w:sz w:val="20"/>
    </w:rPr>
  </w:style>
  <w:style w:type="paragraph" w:customStyle="1" w:styleId="MarginIcons">
    <w:name w:val="Margin Icons"/>
    <w:basedOn w:val="BodyText"/>
    <w:rsid w:val="003C78B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C78B2"/>
    <w:rPr>
      <w:rFonts w:ascii="Courier New" w:hAnsi="Courier New"/>
    </w:rPr>
  </w:style>
  <w:style w:type="paragraph" w:customStyle="1" w:styleId="NoteBullet">
    <w:name w:val="Note Bullet"/>
    <w:basedOn w:val="Note"/>
    <w:rsid w:val="003C78B2"/>
    <w:pPr>
      <w:tabs>
        <w:tab w:val="clear" w:pos="680"/>
      </w:tabs>
      <w:spacing w:before="60" w:after="60"/>
    </w:pPr>
  </w:style>
  <w:style w:type="paragraph" w:customStyle="1" w:styleId="SubHeading2">
    <w:name w:val="SubHeading2"/>
    <w:basedOn w:val="HeadingBase"/>
    <w:rsid w:val="003C78B2"/>
    <w:pPr>
      <w:spacing w:before="240" w:after="60"/>
    </w:pPr>
    <w:rPr>
      <w:sz w:val="20"/>
    </w:rPr>
  </w:style>
  <w:style w:type="paragraph" w:customStyle="1" w:styleId="SubHeading1">
    <w:name w:val="SubHeading1"/>
    <w:basedOn w:val="HeadingBase"/>
    <w:rsid w:val="003C78B2"/>
    <w:pPr>
      <w:spacing w:before="240" w:after="60"/>
    </w:pPr>
    <w:rPr>
      <w:color w:val="918585"/>
      <w:sz w:val="22"/>
    </w:rPr>
  </w:style>
  <w:style w:type="paragraph" w:customStyle="1" w:styleId="SideHeading">
    <w:name w:val="Side Heading"/>
    <w:basedOn w:val="HeadingBase"/>
    <w:rsid w:val="003C78B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C78B2"/>
    <w:pPr>
      <w:numPr>
        <w:numId w:val="9"/>
      </w:numPr>
    </w:pPr>
  </w:style>
  <w:style w:type="paragraph" w:styleId="PlainText">
    <w:name w:val="Plain Text"/>
    <w:basedOn w:val="Normal"/>
    <w:link w:val="PlainTextChar"/>
    <w:rsid w:val="003C78B2"/>
    <w:rPr>
      <w:sz w:val="20"/>
    </w:rPr>
  </w:style>
  <w:style w:type="character" w:customStyle="1" w:styleId="PlainTextChar">
    <w:name w:val="Plain Text Char"/>
    <w:basedOn w:val="DefaultParagraphFont"/>
    <w:link w:val="PlainText"/>
    <w:rsid w:val="003C78B2"/>
    <w:rPr>
      <w:rFonts w:ascii="Courier New" w:eastAsia="Times New Roman" w:hAnsi="Courier New" w:cs="Times New Roman"/>
      <w:sz w:val="20"/>
      <w:szCs w:val="20"/>
      <w:lang w:eastAsia="en-US"/>
    </w:rPr>
  </w:style>
  <w:style w:type="character" w:customStyle="1" w:styleId="MenuOption">
    <w:name w:val="Menu Option"/>
    <w:basedOn w:val="DefaultParagraphFont"/>
    <w:rsid w:val="003C78B2"/>
    <w:rPr>
      <w:b/>
      <w:smallCaps/>
    </w:rPr>
  </w:style>
  <w:style w:type="paragraph" w:customStyle="1" w:styleId="TableListNumber">
    <w:name w:val="Table List Number"/>
    <w:basedOn w:val="ListNumber"/>
    <w:rsid w:val="003C78B2"/>
    <w:pPr>
      <w:numPr>
        <w:numId w:val="0"/>
      </w:numPr>
    </w:pPr>
  </w:style>
  <w:style w:type="paragraph" w:styleId="TOC4">
    <w:name w:val="toc 4"/>
    <w:basedOn w:val="TOCBase"/>
    <w:next w:val="Normal"/>
    <w:semiHidden/>
    <w:rsid w:val="003C78B2"/>
    <w:pPr>
      <w:tabs>
        <w:tab w:val="right" w:leader="dot" w:pos="9071"/>
      </w:tabs>
      <w:ind w:left="1701"/>
    </w:pPr>
  </w:style>
  <w:style w:type="paragraph" w:customStyle="1" w:styleId="ListAlpha">
    <w:name w:val="List Alpha"/>
    <w:basedOn w:val="List"/>
    <w:rsid w:val="003C78B2"/>
    <w:pPr>
      <w:numPr>
        <w:numId w:val="7"/>
      </w:numPr>
    </w:pPr>
  </w:style>
  <w:style w:type="paragraph" w:customStyle="1" w:styleId="ListAlpha2">
    <w:name w:val="List Alpha 2"/>
    <w:basedOn w:val="List2"/>
    <w:rsid w:val="003C78B2"/>
    <w:pPr>
      <w:numPr>
        <w:numId w:val="6"/>
      </w:numPr>
    </w:pPr>
  </w:style>
  <w:style w:type="paragraph" w:styleId="List2">
    <w:name w:val="List 2"/>
    <w:basedOn w:val="BodyText"/>
    <w:rsid w:val="003C78B2"/>
    <w:pPr>
      <w:tabs>
        <w:tab w:val="left" w:pos="680"/>
      </w:tabs>
      <w:spacing w:before="60" w:after="60"/>
      <w:ind w:left="680" w:hanging="340"/>
    </w:pPr>
  </w:style>
  <w:style w:type="paragraph" w:styleId="List3">
    <w:name w:val="List 3"/>
    <w:basedOn w:val="BodyText"/>
    <w:rsid w:val="003C78B2"/>
    <w:pPr>
      <w:tabs>
        <w:tab w:val="left" w:pos="1021"/>
      </w:tabs>
      <w:spacing w:before="60" w:after="60"/>
      <w:ind w:left="1020" w:hanging="340"/>
    </w:pPr>
  </w:style>
  <w:style w:type="paragraph" w:styleId="List4">
    <w:name w:val="List 4"/>
    <w:basedOn w:val="BodyText"/>
    <w:rsid w:val="003C78B2"/>
    <w:pPr>
      <w:tabs>
        <w:tab w:val="left" w:pos="1361"/>
      </w:tabs>
      <w:spacing w:before="60" w:after="60"/>
      <w:ind w:left="1361" w:hanging="340"/>
    </w:pPr>
  </w:style>
  <w:style w:type="paragraph" w:styleId="List5">
    <w:name w:val="List 5"/>
    <w:basedOn w:val="BodyText"/>
    <w:rsid w:val="003C78B2"/>
    <w:pPr>
      <w:tabs>
        <w:tab w:val="left" w:pos="1701"/>
      </w:tabs>
      <w:spacing w:before="60" w:after="60"/>
      <w:ind w:left="1701" w:hanging="340"/>
    </w:pPr>
  </w:style>
  <w:style w:type="paragraph" w:styleId="ListBullet3">
    <w:name w:val="List Bullet 3"/>
    <w:basedOn w:val="List3"/>
    <w:rsid w:val="003C78B2"/>
    <w:pPr>
      <w:numPr>
        <w:numId w:val="12"/>
      </w:numPr>
      <w:tabs>
        <w:tab w:val="clear" w:pos="1021"/>
      </w:tabs>
      <w:ind w:left="1037" w:hanging="357"/>
    </w:pPr>
  </w:style>
  <w:style w:type="paragraph" w:styleId="ListBullet4">
    <w:name w:val="List Bullet 4"/>
    <w:basedOn w:val="List4"/>
    <w:rsid w:val="003C78B2"/>
    <w:pPr>
      <w:numPr>
        <w:numId w:val="1"/>
      </w:numPr>
      <w:tabs>
        <w:tab w:val="clear" w:pos="1361"/>
      </w:tabs>
    </w:pPr>
  </w:style>
  <w:style w:type="paragraph" w:styleId="ListBullet5">
    <w:name w:val="List Bullet 5"/>
    <w:basedOn w:val="List5"/>
    <w:rsid w:val="003C78B2"/>
    <w:pPr>
      <w:numPr>
        <w:numId w:val="2"/>
      </w:numPr>
    </w:pPr>
  </w:style>
  <w:style w:type="paragraph" w:styleId="ListContinue2">
    <w:name w:val="List Continue 2"/>
    <w:basedOn w:val="List2"/>
    <w:rsid w:val="003C78B2"/>
    <w:pPr>
      <w:ind w:firstLine="0"/>
    </w:pPr>
  </w:style>
  <w:style w:type="paragraph" w:styleId="ListContinue3">
    <w:name w:val="List Continue 3"/>
    <w:basedOn w:val="List3"/>
    <w:rsid w:val="003C78B2"/>
    <w:pPr>
      <w:ind w:left="1021" w:firstLine="0"/>
    </w:pPr>
  </w:style>
  <w:style w:type="paragraph" w:styleId="ListContinue4">
    <w:name w:val="List Continue 4"/>
    <w:basedOn w:val="List4"/>
    <w:rsid w:val="003C78B2"/>
    <w:pPr>
      <w:ind w:firstLine="0"/>
    </w:pPr>
  </w:style>
  <w:style w:type="paragraph" w:styleId="ListContinue5">
    <w:name w:val="List Continue 5"/>
    <w:basedOn w:val="List5"/>
    <w:rsid w:val="003C78B2"/>
    <w:pPr>
      <w:ind w:firstLine="0"/>
    </w:pPr>
  </w:style>
  <w:style w:type="paragraph" w:styleId="ListNumber3">
    <w:name w:val="List Number 3"/>
    <w:basedOn w:val="List3"/>
    <w:rsid w:val="003C78B2"/>
    <w:pPr>
      <w:numPr>
        <w:numId w:val="3"/>
      </w:numPr>
    </w:pPr>
  </w:style>
  <w:style w:type="paragraph" w:styleId="ListNumber4">
    <w:name w:val="List Number 4"/>
    <w:basedOn w:val="List4"/>
    <w:rsid w:val="003C78B2"/>
    <w:pPr>
      <w:numPr>
        <w:numId w:val="4"/>
      </w:numPr>
    </w:pPr>
  </w:style>
  <w:style w:type="paragraph" w:styleId="ListNumber5">
    <w:name w:val="List Number 5"/>
    <w:basedOn w:val="List5"/>
    <w:rsid w:val="003C78B2"/>
    <w:pPr>
      <w:numPr>
        <w:numId w:val="5"/>
      </w:numPr>
    </w:pPr>
  </w:style>
  <w:style w:type="paragraph" w:styleId="BlockText">
    <w:name w:val="Block Text"/>
    <w:basedOn w:val="Normal"/>
    <w:rsid w:val="003C78B2"/>
    <w:pPr>
      <w:spacing w:after="120"/>
      <w:ind w:left="1440" w:right="1440"/>
    </w:pPr>
  </w:style>
  <w:style w:type="character" w:customStyle="1" w:styleId="Subscript">
    <w:name w:val="Subscript"/>
    <w:basedOn w:val="DefaultParagraphFont"/>
    <w:rsid w:val="003C78B2"/>
    <w:rPr>
      <w:sz w:val="16"/>
      <w:vertAlign w:val="subscript"/>
    </w:rPr>
  </w:style>
  <w:style w:type="character" w:customStyle="1" w:styleId="Superscript">
    <w:name w:val="Superscript"/>
    <w:basedOn w:val="DefaultParagraphFont"/>
    <w:rsid w:val="003C78B2"/>
    <w:rPr>
      <w:sz w:val="16"/>
      <w:vertAlign w:val="superscript"/>
    </w:rPr>
  </w:style>
  <w:style w:type="character" w:customStyle="1" w:styleId="Symbols">
    <w:name w:val="Symbols"/>
    <w:basedOn w:val="DefaultParagraphFont"/>
    <w:rsid w:val="003C78B2"/>
    <w:rPr>
      <w:rFonts w:ascii="Symbol" w:hAnsi="Symbol"/>
    </w:rPr>
  </w:style>
  <w:style w:type="character" w:customStyle="1" w:styleId="MenuOptions">
    <w:name w:val="Menu Options"/>
    <w:basedOn w:val="DefaultParagraphFont"/>
    <w:rsid w:val="003C78B2"/>
    <w:rPr>
      <w:rFonts w:ascii="Arial Narrow" w:hAnsi="Arial Narrow"/>
      <w:smallCaps/>
    </w:rPr>
  </w:style>
  <w:style w:type="character" w:customStyle="1" w:styleId="Buttons">
    <w:name w:val="Buttons"/>
    <w:basedOn w:val="DefaultParagraphFont"/>
    <w:rsid w:val="003C78B2"/>
    <w:rPr>
      <w:b/>
    </w:rPr>
  </w:style>
  <w:style w:type="character" w:customStyle="1" w:styleId="Underlined">
    <w:name w:val="Underlined"/>
    <w:basedOn w:val="DefaultParagraphFont"/>
    <w:rsid w:val="003C78B2"/>
    <w:rPr>
      <w:u w:val="single"/>
    </w:rPr>
  </w:style>
  <w:style w:type="paragraph" w:customStyle="1" w:styleId="TableBodyTextRight">
    <w:name w:val="Table Body Text Right"/>
    <w:basedOn w:val="TableBodyText"/>
    <w:rsid w:val="003C78B2"/>
    <w:pPr>
      <w:widowControl w:val="0"/>
      <w:autoSpaceDE w:val="0"/>
      <w:autoSpaceDN w:val="0"/>
      <w:adjustRightInd w:val="0"/>
      <w:jc w:val="right"/>
    </w:pPr>
    <w:rPr>
      <w:rFonts w:cs="Arial"/>
      <w:szCs w:val="18"/>
    </w:rPr>
  </w:style>
  <w:style w:type="paragraph" w:customStyle="1" w:styleId="CopyrightText">
    <w:name w:val="Copyright Text"/>
    <w:basedOn w:val="BodyText"/>
    <w:rsid w:val="003C78B2"/>
    <w:rPr>
      <w:sz w:val="18"/>
    </w:rPr>
  </w:style>
  <w:style w:type="paragraph" w:customStyle="1" w:styleId="BodySmallRight">
    <w:name w:val="Body Small Right"/>
    <w:basedOn w:val="BodyTextRight"/>
    <w:rsid w:val="003C78B2"/>
    <w:rPr>
      <w:sz w:val="18"/>
      <w:szCs w:val="18"/>
    </w:rPr>
  </w:style>
  <w:style w:type="paragraph" w:customStyle="1" w:styleId="MarginEdition">
    <w:name w:val="Margin Edition"/>
    <w:basedOn w:val="MarginNote"/>
    <w:rsid w:val="003C78B2"/>
    <w:pPr>
      <w:spacing w:before="0" w:after="0"/>
    </w:pPr>
    <w:rPr>
      <w:rFonts w:ascii="Times New Roman" w:hAnsi="Times New Roman"/>
      <w:color w:val="999999"/>
    </w:rPr>
  </w:style>
  <w:style w:type="paragraph" w:customStyle="1" w:styleId="Spacer">
    <w:name w:val="Spacer"/>
    <w:basedOn w:val="Normal"/>
    <w:rsid w:val="003C78B2"/>
    <w:rPr>
      <w:sz w:val="2"/>
      <w:szCs w:val="2"/>
    </w:rPr>
  </w:style>
  <w:style w:type="character" w:customStyle="1" w:styleId="Small">
    <w:name w:val="Small"/>
    <w:basedOn w:val="DefaultParagraphFont"/>
    <w:rsid w:val="003C78B2"/>
    <w:rPr>
      <w:sz w:val="16"/>
    </w:rPr>
  </w:style>
  <w:style w:type="paragraph" w:customStyle="1" w:styleId="WideTable">
    <w:name w:val="Wide Table"/>
    <w:basedOn w:val="Normal"/>
    <w:rsid w:val="003C78B2"/>
    <w:pPr>
      <w:ind w:left="-1418"/>
    </w:pPr>
    <w:rPr>
      <w:sz w:val="2"/>
      <w:szCs w:val="2"/>
    </w:rPr>
  </w:style>
  <w:style w:type="character" w:styleId="PageNumber">
    <w:name w:val="page number"/>
    <w:basedOn w:val="DefaultParagraphFont"/>
    <w:rsid w:val="003C78B2"/>
  </w:style>
  <w:style w:type="paragraph" w:styleId="Quote">
    <w:name w:val="Quote"/>
    <w:basedOn w:val="Heading1"/>
    <w:link w:val="QuoteChar"/>
    <w:qFormat/>
    <w:rsid w:val="003C78B2"/>
    <w:rPr>
      <w:b w:val="0"/>
      <w:sz w:val="72"/>
      <w:szCs w:val="72"/>
      <w:lang w:val="en-NZ"/>
    </w:rPr>
  </w:style>
  <w:style w:type="character" w:customStyle="1" w:styleId="QuoteChar">
    <w:name w:val="Quote Char"/>
    <w:basedOn w:val="DefaultParagraphFont"/>
    <w:link w:val="Quote"/>
    <w:rsid w:val="003C78B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C78B2"/>
    <w:pPr>
      <w:pageBreakBefore/>
    </w:pPr>
  </w:style>
  <w:style w:type="paragraph" w:customStyle="1" w:styleId="Border">
    <w:name w:val="Border"/>
    <w:basedOn w:val="Normal"/>
    <w:qFormat/>
    <w:rsid w:val="003C78B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C78B2"/>
    <w:rPr>
      <w:b/>
      <w:bCs/>
      <w:i/>
      <w:iCs/>
      <w:color w:val="auto"/>
    </w:rPr>
  </w:style>
  <w:style w:type="paragraph" w:styleId="IntenseQuote">
    <w:name w:val="Intense Quote"/>
    <w:basedOn w:val="Normal"/>
    <w:next w:val="Normal"/>
    <w:link w:val="IntenseQuoteChar"/>
    <w:uiPriority w:val="30"/>
    <w:qFormat/>
    <w:rsid w:val="003C78B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C78B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C78B2"/>
    <w:rPr>
      <w:smallCaps/>
      <w:color w:val="auto"/>
      <w:u w:val="single"/>
    </w:rPr>
  </w:style>
  <w:style w:type="character" w:styleId="IntenseReference">
    <w:name w:val="Intense Reference"/>
    <w:basedOn w:val="DefaultParagraphFont"/>
    <w:uiPriority w:val="32"/>
    <w:qFormat/>
    <w:rsid w:val="003C78B2"/>
    <w:rPr>
      <w:b/>
      <w:bCs/>
      <w:smallCaps/>
      <w:color w:val="auto"/>
      <w:spacing w:val="5"/>
      <w:u w:val="single"/>
    </w:rPr>
  </w:style>
  <w:style w:type="paragraph" w:customStyle="1" w:styleId="2ColumnHeading">
    <w:name w:val="2Column Heading"/>
    <w:basedOn w:val="BodyText"/>
    <w:qFormat/>
    <w:rsid w:val="003C78B2"/>
    <w:pPr>
      <w:spacing w:after="60"/>
      <w:ind w:left="-2268"/>
    </w:pPr>
    <w:rPr>
      <w:b/>
    </w:rPr>
  </w:style>
  <w:style w:type="paragraph" w:customStyle="1" w:styleId="Heading1TOC">
    <w:name w:val="Heading1 TOC"/>
    <w:basedOn w:val="Normal"/>
    <w:qFormat/>
    <w:rsid w:val="003C78B2"/>
    <w:pPr>
      <w:spacing w:before="240" w:after="120"/>
    </w:pPr>
    <w:rPr>
      <w:rFonts w:ascii="Times New Roman" w:hAnsi="Times New Roman"/>
      <w:b/>
      <w:sz w:val="32"/>
    </w:rPr>
  </w:style>
  <w:style w:type="paragraph" w:customStyle="1" w:styleId="Heading2TOC">
    <w:name w:val="Heading2 TOC"/>
    <w:basedOn w:val="Normal"/>
    <w:qFormat/>
    <w:rsid w:val="003C78B2"/>
    <w:pPr>
      <w:spacing w:before="240" w:after="60"/>
    </w:pPr>
    <w:rPr>
      <w:rFonts w:ascii="Times New Roman" w:hAnsi="Times New Roman"/>
      <w:b/>
      <w:sz w:val="28"/>
    </w:rPr>
  </w:style>
  <w:style w:type="character" w:customStyle="1" w:styleId="Underline">
    <w:name w:val="Underline"/>
    <w:basedOn w:val="DefaultParagraphFont"/>
    <w:qFormat/>
    <w:rsid w:val="003C78B2"/>
    <w:rPr>
      <w:u w:val="single"/>
    </w:rPr>
  </w:style>
  <w:style w:type="character" w:customStyle="1" w:styleId="BoldandItalics">
    <w:name w:val="Bold and Italics"/>
    <w:qFormat/>
    <w:rsid w:val="003C78B2"/>
    <w:rPr>
      <w:b/>
      <w:i/>
      <w:u w:val="none"/>
    </w:rPr>
  </w:style>
  <w:style w:type="paragraph" w:styleId="BalloonText">
    <w:name w:val="Balloon Text"/>
    <w:basedOn w:val="Normal"/>
    <w:link w:val="BalloonTextChar"/>
    <w:rsid w:val="003C78B2"/>
    <w:rPr>
      <w:rFonts w:ascii="Tahoma" w:hAnsi="Tahoma" w:cs="Tahoma"/>
      <w:sz w:val="16"/>
      <w:szCs w:val="16"/>
    </w:rPr>
  </w:style>
  <w:style w:type="character" w:customStyle="1" w:styleId="BalloonTextChar">
    <w:name w:val="Balloon Text Char"/>
    <w:basedOn w:val="DefaultParagraphFont"/>
    <w:link w:val="BalloonText"/>
    <w:rsid w:val="003C78B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C78B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C78B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C78B2"/>
    <w:rPr>
      <w:b/>
      <w:color w:val="660033"/>
      <w:spacing w:val="0"/>
    </w:rPr>
  </w:style>
  <w:style w:type="paragraph" w:customStyle="1" w:styleId="Nameditemlist">
    <w:name w:val="Named item list"/>
    <w:basedOn w:val="BodyText"/>
    <w:qFormat/>
    <w:rsid w:val="003C78B2"/>
    <w:pPr>
      <w:tabs>
        <w:tab w:val="left" w:pos="2835"/>
      </w:tabs>
      <w:ind w:left="2835" w:hanging="2835"/>
    </w:pPr>
  </w:style>
  <w:style w:type="paragraph" w:customStyle="1" w:styleId="BodyTextnopadding">
    <w:name w:val="Body Text no padding"/>
    <w:basedOn w:val="BodyText"/>
    <w:qFormat/>
    <w:rsid w:val="003C78B2"/>
    <w:pPr>
      <w:spacing w:before="0" w:after="0"/>
    </w:pPr>
  </w:style>
  <w:style w:type="paragraph" w:customStyle="1" w:styleId="BodyTextBold">
    <w:name w:val="Body Text Bold"/>
    <w:basedOn w:val="BodyText"/>
    <w:qFormat/>
    <w:rsid w:val="003C78B2"/>
    <w:rPr>
      <w:b/>
    </w:rPr>
  </w:style>
  <w:style w:type="character" w:styleId="Hyperlink">
    <w:name w:val="Hyperlink"/>
    <w:basedOn w:val="DefaultParagraphFont"/>
    <w:uiPriority w:val="99"/>
    <w:unhideWhenUsed/>
    <w:rsid w:val="0095532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728</Words>
  <Characters>4278</Characters>
  <Application>Microsoft Office Word</Application>
  <DocSecurity>0</DocSecurity>
  <Lines>178</Lines>
  <Paragraphs>89</Paragraphs>
  <ScaleCrop>false</ScaleCrop>
  <Company>Author-it Software Corporation Ltd.</Company>
  <LinksUpToDate>false</LinksUpToDate>
  <CharactersWithSpaces>4917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PUAFIR010 Operate small equipment to prepare and load product into aircraft</dc:title>
  <dc:subject>Approved</dc:subject>
  <dc:creator>Australian Industry Standards</dc:creator>
  <cp:keywords>Release: 1</cp:keywords>
  <dc:description>Review Date: 12 April 2008</dc:description>
  <cp:lastModifiedBy>HSD_TPCMSd.prod</cp:lastModifiedBy>
  <cp:revision>3</cp:revision>
  <dcterms:created xsi:type="dcterms:W3CDTF">2022-12-16T01:08:00Z</dcterms:created>
  <dcterms:modified xsi:type="dcterms:W3CDTF">2022-12-16T01:08:00Z</dcterms:modified>
</cp:coreProperties>
</file>