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4B2" w:rsidP="00C64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PUAFER005 Operate as part of an emergency control organisation</w:t>
      </w:r>
      <w:r>
        <w:fldChar w:fldCharType="end"/>
      </w:r>
    </w:p>
    <w:p w:rsidR="00C644B2" w:rsidP="00C644B2">
      <w:pPr>
        <w:pStyle w:val="Version"/>
        <w:sectPr w:rsidSect="00401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0D0" w:rsidP="004010D0">
      <w:pPr>
        <w:pStyle w:val="SuperHeading"/>
      </w:pPr>
      <w:r w:rsidRPr="004010D0">
        <w:t>PUAFER005 Operate as part of an emergency control organisation</w:t>
      </w:r>
    </w:p>
    <w:p w:rsidR="00000000" w:rsidRPr="004010D0" w:rsidP="004010D0">
      <w:pPr>
        <w:pStyle w:val="Heading1"/>
      </w:pPr>
      <w:bookmarkStart w:id="1" w:name="O_1024753"/>
      <w:bookmarkEnd w:id="1"/>
      <w:r w:rsidRPr="004010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Release 1.</w:t>
            </w:r>
            <w:r w:rsidRPr="004010D0">
              <w:t xml:space="preserve"> This is the first release of this unit of competency in the PUA Public Safety Training Package.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2" w:name="O_1024754"/>
      <w:bookmarkEnd w:id="2"/>
      <w:r w:rsidRPr="004010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This unit of competency involves the skills and knowledge required to work within the command, control and coordination structure of an Emergency Control Organisation (ECO). An ECO</w:t>
            </w:r>
            <w:r>
              <w:t>’</w:t>
            </w:r>
            <w:r w:rsidRPr="004010D0">
              <w:t>s priority is the safety of facility occupants and visitors during an emerg</w:t>
            </w:r>
            <w:r w:rsidRPr="004010D0">
              <w:t>ency which means ECO members are responsible for pre-emergency, emergency and post emergency actions. It includes undertake pre-emergency planning, taking appropriate actions in an emergency and assisting with post emergency activities.</w:t>
            </w:r>
          </w:p>
          <w:p w:rsidR="00000000" w:rsidRPr="004010D0" w:rsidP="004010D0">
            <w:pPr>
              <w:pStyle w:val="BodyText"/>
            </w:pPr>
            <w:r w:rsidRPr="004010D0">
              <w:t>The unit has been d</w:t>
            </w:r>
            <w:r w:rsidRPr="004010D0">
              <w:t>eveloped to cover the facilities as specified in Australian Standard (AS) 3745 and AS4083. For this unit, as covered by AS3745 and/or AS4083, occupants are people attending a facility on a permanent or temporary basis such as an employee, contractor, stude</w:t>
            </w:r>
            <w:r w:rsidRPr="004010D0">
              <w:t>nt or resident, but not a visitor or patient and a facility is a building, structure or workplace that is, or may be, occupied by people (occupants).</w:t>
            </w:r>
          </w:p>
          <w:p w:rsidR="00000000" w:rsidRPr="004010D0" w:rsidP="004010D0">
            <w:pPr>
              <w:pStyle w:val="BodyText"/>
            </w:pPr>
            <w:r w:rsidRPr="004010D0">
              <w:t>All aspects of the unit must be undertaken in accordance with legislative requirements, organisational pol</w:t>
            </w:r>
            <w:r w:rsidRPr="004010D0">
              <w:t>icies and procedures and accepted safe practices. It applies to members of an ECO who are floor or area wardens and/or wardens or deputy wardens.</w:t>
            </w:r>
          </w:p>
          <w:p w:rsidR="00000000" w:rsidRPr="004010D0" w:rsidP="004010D0">
            <w:pPr>
              <w:pStyle w:val="BodyText"/>
            </w:pPr>
            <w:r w:rsidRPr="004010D0">
              <w:t>No licensing, legislative or certification requirements apply to this unit at the time of publication.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3" w:name="O_1024755"/>
      <w:bookmarkEnd w:id="3"/>
      <w:r w:rsidRPr="004010D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Not applicable.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4" w:name="O_1024756"/>
      <w:bookmarkEnd w:id="4"/>
      <w:r w:rsidRPr="004010D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Facility Emergency Response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5" w:name="O_1024757"/>
      <w:bookmarkEnd w:id="5"/>
      <w:r w:rsidRPr="004010D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Public Safety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6" w:name="O_1024758"/>
      <w:bookmarkEnd w:id="6"/>
      <w:r w:rsidRPr="004010D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PERFORMANCE CRITERIA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Performance criteria describe the performance needed to demonstrate achievement of the element.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Undertake pre</w:t>
            </w:r>
            <w:r w:rsidRPr="004010D0">
              <w:rPr>
                <w:rStyle w:val="SpecialBold"/>
              </w:rPr>
              <w:noBreakHyphen/>
              <w:t>emergency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Processes are established and implemented to ensure occupants can access facility emergency response procedures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 xml:space="preserve">Safety practices are carried out, in accordance with facility emergency response procedures 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Processes are established and implemented to ensure emergency control organisation identification, as agreed by the emergency planning committee, is available throughout the facility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Relevant documentation is examined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Emergency equipment defi</w:t>
            </w:r>
            <w:r w:rsidRPr="004010D0">
              <w:t>ciencies are documented and reported, in accordance with facility emergency response procedures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 xml:space="preserve">2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Take appropriate actions in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Emergency signals and warnings are identified and responded to, as required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Suitable identification is w</w:t>
            </w:r>
            <w:r w:rsidRPr="004010D0">
              <w:t>orn, in accordance with facility emergency response procedures and AS3745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Emergency situations and possible further developments are assessed and action is taken, in accordance with facility emergency response procedures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Arrangements are made for occupants who may require assistance during an emergency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Emergency stations are attended and operated, in accordance with facility emergency response procedures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Facility emergency response procedures are implemented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Communications systems are operated, as required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rPr>
                <w:rStyle w:val="SpecialBold"/>
              </w:rPr>
              <w:t>Assist with post emergency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 xml:space="preserve">Facility owners, managers, occupiers and employers are collaborated with to support re-entry to the facility 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t>Safe re</w:t>
            </w:r>
            <w:r w:rsidRPr="004010D0">
              <w:noBreakHyphen/>
            </w:r>
            <w:r w:rsidRPr="004010D0">
              <w:t xml:space="preserve">entry processes for the facility are implemented, </w:t>
            </w:r>
            <w:r w:rsidRPr="004010D0">
              <w:t>in accordance with facility emergency response procedures</w:t>
            </w:r>
          </w:p>
        </w:tc>
      </w:tr>
      <w:tr w:rsidTr="004010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D0">
            <w:pPr>
              <w:pStyle w:val="BodyText"/>
              <w:rPr>
                <w:lang w:val="en-NZ"/>
              </w:rPr>
            </w:pPr>
            <w:r w:rsidRPr="004010D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Report of actions taken during the emergency is documented and prepared for debriefing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7" w:name="O_1024759"/>
      <w:bookmarkEnd w:id="7"/>
      <w:r w:rsidRPr="004010D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Foundation skil</w:t>
            </w:r>
            <w:r w:rsidRPr="004010D0">
              <w:t>ls essential to performance are explicit in the performance criteria of this unit of competency.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8" w:name="O_1024760"/>
      <w:bookmarkEnd w:id="8"/>
      <w:r w:rsidRPr="004010D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Range is restricted to essential operating conditions and any other variables essential to the work environment.</w:t>
            </w:r>
          </w:p>
          <w:p w:rsidR="00000000" w:rsidRPr="004010D0" w:rsidP="004010D0">
            <w:pPr>
              <w:pStyle w:val="BodyText"/>
            </w:pPr>
            <w:r w:rsidRPr="004010D0">
              <w:t>Non-essential conditions may be found in the Companion Volume Implementation Guide.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9" w:name="O_1024761"/>
      <w:bookmarkEnd w:id="9"/>
      <w:r w:rsidRPr="004010D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0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D0" w:rsidP="004010D0">
            <w:pPr>
              <w:pStyle w:val="BodyText"/>
            </w:pPr>
            <w:r w:rsidRPr="004010D0">
              <w:t>This unit replaces and is equivalent to PUAWER005B Operate as part of an emergency control organisation.</w:t>
            </w:r>
          </w:p>
        </w:tc>
      </w:tr>
    </w:tbl>
    <w:p w:rsidR="00000000" w:rsidRPr="004010D0" w:rsidP="004010D0">
      <w:pPr>
        <w:pStyle w:val="NoPaddingFontSize1"/>
      </w:pPr>
    </w:p>
    <w:p w:rsidR="00000000" w:rsidRPr="004010D0" w:rsidP="004010D0">
      <w:pPr>
        <w:pStyle w:val="AllowPageBreak"/>
      </w:pPr>
    </w:p>
    <w:p w:rsidR="00000000" w:rsidRPr="004010D0" w:rsidP="004010D0">
      <w:pPr>
        <w:pStyle w:val="Heading1"/>
      </w:pPr>
      <w:bookmarkStart w:id="10" w:name="O_1024768"/>
      <w:bookmarkEnd w:id="10"/>
      <w:r w:rsidRPr="004010D0">
        <w:t>Links</w:t>
      </w:r>
    </w:p>
    <w:p w:rsidR="00000000" w:rsidRPr="004010D0" w:rsidP="00C644B2">
      <w:pPr>
        <w:pStyle w:val="BodyText"/>
      </w:pPr>
      <w:r w:rsidRPr="004010D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B4FB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010D0" w:rsidP="004010D0"/>
    <w:sectPr w:rsidSect="00401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D0" w:rsidRPr="00C644B2" w:rsidP="00C64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2" w:rsidP="00401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4B2" w:rsidP="00401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644B2" w:rsidP="00401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0D0" w:rsidRPr="00C644B2" w:rsidP="00C64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2" w:rsidRPr="002D2AF8" w:rsidP="00401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PUAFER005 Operate as part of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44B2" w:rsidP="00401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0D0"/>
  </w:style>
  <w:style w:type="character" w:customStyle="1" w:styleId="Heading1Char">
    <w:name w:val="Heading 1 Char"/>
    <w:basedOn w:val="DefaultParagraphFont"/>
    <w:link w:val="Heading1"/>
    <w:rsid w:val="00401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0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10D0"/>
    <w:rPr>
      <w:b/>
      <w:spacing w:val="0"/>
    </w:rPr>
  </w:style>
  <w:style w:type="paragraph" w:customStyle="1" w:styleId="SuperHeading">
    <w:name w:val="SuperHeading"/>
    <w:basedOn w:val="Normal"/>
    <w:rsid w:val="00401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1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0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0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1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0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0D0"/>
    <w:rPr>
      <w:i/>
    </w:rPr>
  </w:style>
  <w:style w:type="paragraph" w:styleId="Caption">
    <w:name w:val="caption"/>
    <w:basedOn w:val="BodyText"/>
    <w:next w:val="Normal"/>
    <w:qFormat/>
    <w:rsid w:val="00401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0D0"/>
  </w:style>
  <w:style w:type="paragraph" w:styleId="TableofFigures">
    <w:name w:val="table of figures"/>
    <w:basedOn w:val="Normal"/>
    <w:next w:val="Normal"/>
    <w:semiHidden/>
    <w:rsid w:val="00401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0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10D0"/>
    <w:rPr>
      <w:rFonts w:ascii="Wingdings" w:hAnsi="Wingdings"/>
    </w:rPr>
  </w:style>
  <w:style w:type="paragraph" w:customStyle="1" w:styleId="TableHeading">
    <w:name w:val="Table Heading"/>
    <w:basedOn w:val="HeadingBase"/>
    <w:rsid w:val="00401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0D0"/>
    <w:rPr>
      <w:color w:val="0033CC"/>
      <w:u w:val="none"/>
    </w:rPr>
  </w:style>
  <w:style w:type="paragraph" w:customStyle="1" w:styleId="BodyTextRight">
    <w:name w:val="Body Text Right"/>
    <w:basedOn w:val="BodyText"/>
    <w:rsid w:val="00401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0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0D0"/>
    <w:rPr>
      <w:sz w:val="32"/>
    </w:rPr>
  </w:style>
  <w:style w:type="paragraph" w:customStyle="1" w:styleId="HeadingProcedure">
    <w:name w:val="Heading Procedure"/>
    <w:basedOn w:val="HeadingBase"/>
    <w:next w:val="Normal"/>
    <w:rsid w:val="00401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0D0"/>
    <w:pPr>
      <w:spacing w:before="60" w:after="60"/>
    </w:pPr>
  </w:style>
  <w:style w:type="paragraph" w:styleId="ListContinue">
    <w:name w:val="List Continue"/>
    <w:basedOn w:val="List"/>
    <w:rsid w:val="004010D0"/>
    <w:pPr>
      <w:ind w:firstLine="0"/>
    </w:pPr>
  </w:style>
  <w:style w:type="paragraph" w:customStyle="1" w:styleId="ListNote">
    <w:name w:val="List Note"/>
    <w:basedOn w:val="List"/>
    <w:rsid w:val="00401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0D0"/>
    <w:rPr>
      <w:rFonts w:ascii="Courier New" w:hAnsi="Courier New"/>
    </w:rPr>
  </w:style>
  <w:style w:type="paragraph" w:customStyle="1" w:styleId="NoteBullet">
    <w:name w:val="Note Bullet"/>
    <w:basedOn w:val="Note"/>
    <w:rsid w:val="00401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0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1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0D0"/>
    <w:rPr>
      <w:b/>
      <w:smallCaps/>
    </w:rPr>
  </w:style>
  <w:style w:type="paragraph" w:customStyle="1" w:styleId="TableListNumber">
    <w:name w:val="Table List Number"/>
    <w:basedOn w:val="ListNumber"/>
    <w:rsid w:val="00401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0D0"/>
    <w:pPr>
      <w:numPr>
        <w:numId w:val="7"/>
      </w:numPr>
    </w:pPr>
  </w:style>
  <w:style w:type="paragraph" w:customStyle="1" w:styleId="ListAlpha2">
    <w:name w:val="List Alpha 2"/>
    <w:basedOn w:val="List2"/>
    <w:rsid w:val="004010D0"/>
    <w:pPr>
      <w:numPr>
        <w:numId w:val="6"/>
      </w:numPr>
    </w:pPr>
  </w:style>
  <w:style w:type="paragraph" w:styleId="List2">
    <w:name w:val="List 2"/>
    <w:basedOn w:val="BodyText"/>
    <w:rsid w:val="00401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0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0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10D0"/>
    <w:pPr>
      <w:numPr>
        <w:numId w:val="2"/>
      </w:numPr>
    </w:pPr>
  </w:style>
  <w:style w:type="paragraph" w:styleId="ListContinue2">
    <w:name w:val="List Continue 2"/>
    <w:basedOn w:val="List2"/>
    <w:rsid w:val="004010D0"/>
    <w:pPr>
      <w:ind w:firstLine="0"/>
    </w:pPr>
  </w:style>
  <w:style w:type="paragraph" w:styleId="ListContinue3">
    <w:name w:val="List Continue 3"/>
    <w:basedOn w:val="List3"/>
    <w:rsid w:val="004010D0"/>
    <w:pPr>
      <w:ind w:left="1021" w:firstLine="0"/>
    </w:pPr>
  </w:style>
  <w:style w:type="paragraph" w:styleId="ListContinue4">
    <w:name w:val="List Continue 4"/>
    <w:basedOn w:val="List4"/>
    <w:rsid w:val="004010D0"/>
    <w:pPr>
      <w:ind w:firstLine="0"/>
    </w:pPr>
  </w:style>
  <w:style w:type="paragraph" w:styleId="ListContinue5">
    <w:name w:val="List Continue 5"/>
    <w:basedOn w:val="List5"/>
    <w:rsid w:val="004010D0"/>
    <w:pPr>
      <w:ind w:firstLine="0"/>
    </w:pPr>
  </w:style>
  <w:style w:type="paragraph" w:styleId="ListNumber3">
    <w:name w:val="List Number 3"/>
    <w:basedOn w:val="List3"/>
    <w:rsid w:val="004010D0"/>
    <w:pPr>
      <w:numPr>
        <w:numId w:val="3"/>
      </w:numPr>
    </w:pPr>
  </w:style>
  <w:style w:type="paragraph" w:styleId="ListNumber4">
    <w:name w:val="List Number 4"/>
    <w:basedOn w:val="List4"/>
    <w:rsid w:val="004010D0"/>
    <w:pPr>
      <w:numPr>
        <w:numId w:val="4"/>
      </w:numPr>
    </w:pPr>
  </w:style>
  <w:style w:type="paragraph" w:styleId="ListNumber5">
    <w:name w:val="List Number 5"/>
    <w:basedOn w:val="List5"/>
    <w:rsid w:val="004010D0"/>
    <w:pPr>
      <w:numPr>
        <w:numId w:val="5"/>
      </w:numPr>
    </w:pPr>
  </w:style>
  <w:style w:type="paragraph" w:styleId="BlockText">
    <w:name w:val="Block Text"/>
    <w:basedOn w:val="Normal"/>
    <w:rsid w:val="00401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0D0"/>
    <w:rPr>
      <w:sz w:val="16"/>
      <w:vertAlign w:val="superscript"/>
    </w:rPr>
  </w:style>
  <w:style w:type="character" w:customStyle="1" w:styleId="Symbols">
    <w:name w:val="Symbols"/>
    <w:basedOn w:val="DefaultParagraphFont"/>
    <w:rsid w:val="004010D0"/>
    <w:rPr>
      <w:rFonts w:ascii="Symbol" w:hAnsi="Symbol"/>
    </w:rPr>
  </w:style>
  <w:style w:type="character" w:customStyle="1" w:styleId="MenuOptions">
    <w:name w:val="Menu Options"/>
    <w:basedOn w:val="DefaultParagraphFont"/>
    <w:rsid w:val="00401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0D0"/>
    <w:rPr>
      <w:b/>
    </w:rPr>
  </w:style>
  <w:style w:type="character" w:customStyle="1" w:styleId="Underlined">
    <w:name w:val="Underlined"/>
    <w:basedOn w:val="DefaultParagraphFont"/>
    <w:rsid w:val="004010D0"/>
    <w:rPr>
      <w:u w:val="single"/>
    </w:rPr>
  </w:style>
  <w:style w:type="paragraph" w:customStyle="1" w:styleId="TableBodyTextRight">
    <w:name w:val="Table Body Text Right"/>
    <w:basedOn w:val="TableBodyText"/>
    <w:rsid w:val="00401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0D0"/>
    <w:rPr>
      <w:sz w:val="18"/>
    </w:rPr>
  </w:style>
  <w:style w:type="paragraph" w:customStyle="1" w:styleId="BodySmallRight">
    <w:name w:val="Body Small Right"/>
    <w:basedOn w:val="BodyTextRight"/>
    <w:rsid w:val="004010D0"/>
    <w:rPr>
      <w:sz w:val="18"/>
      <w:szCs w:val="18"/>
    </w:rPr>
  </w:style>
  <w:style w:type="paragraph" w:customStyle="1" w:styleId="MarginEdition">
    <w:name w:val="Margin Edition"/>
    <w:basedOn w:val="MarginNote"/>
    <w:rsid w:val="00401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0D0"/>
    <w:rPr>
      <w:sz w:val="2"/>
      <w:szCs w:val="2"/>
    </w:rPr>
  </w:style>
  <w:style w:type="character" w:customStyle="1" w:styleId="Small">
    <w:name w:val="Small"/>
    <w:basedOn w:val="DefaultParagraphFont"/>
    <w:rsid w:val="004010D0"/>
    <w:rPr>
      <w:sz w:val="16"/>
    </w:rPr>
  </w:style>
  <w:style w:type="paragraph" w:customStyle="1" w:styleId="WideTable">
    <w:name w:val="Wide Table"/>
    <w:basedOn w:val="Normal"/>
    <w:rsid w:val="00401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0D0"/>
  </w:style>
  <w:style w:type="paragraph" w:styleId="Quote">
    <w:name w:val="Quote"/>
    <w:basedOn w:val="Heading1"/>
    <w:link w:val="QuoteChar"/>
    <w:qFormat/>
    <w:rsid w:val="00401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0D0"/>
    <w:pPr>
      <w:pageBreakBefore/>
    </w:pPr>
  </w:style>
  <w:style w:type="paragraph" w:customStyle="1" w:styleId="Border">
    <w:name w:val="Border"/>
    <w:basedOn w:val="Normal"/>
    <w:qFormat/>
    <w:rsid w:val="00401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0D0"/>
    <w:rPr>
      <w:u w:val="single"/>
    </w:rPr>
  </w:style>
  <w:style w:type="character" w:customStyle="1" w:styleId="BoldandItalics">
    <w:name w:val="Bold and Italics"/>
    <w:qFormat/>
    <w:rsid w:val="004010D0"/>
    <w:rPr>
      <w:b/>
      <w:i/>
      <w:u w:val="none"/>
    </w:rPr>
  </w:style>
  <w:style w:type="paragraph" w:styleId="BalloonText">
    <w:name w:val="Balloon Text"/>
    <w:basedOn w:val="Normal"/>
    <w:link w:val="BalloonTextChar"/>
    <w:rsid w:val="0040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0D0"/>
    <w:pPr>
      <w:spacing w:before="0" w:after="0"/>
    </w:pPr>
  </w:style>
  <w:style w:type="paragraph" w:customStyle="1" w:styleId="BodyTextBold">
    <w:name w:val="Body Text Bold"/>
    <w:basedOn w:val="BodyText"/>
    <w:qFormat/>
    <w:rsid w:val="004010D0"/>
    <w:rPr>
      <w:b/>
    </w:rPr>
  </w:style>
  <w:style w:type="character" w:styleId="Hyperlink">
    <w:name w:val="Hyperlink"/>
    <w:basedOn w:val="DefaultParagraphFont"/>
    <w:uiPriority w:val="99"/>
    <w:unhideWhenUsed/>
    <w:rsid w:val="00C64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3786</Characters>
  <Application>Microsoft Office Word</Application>
  <DocSecurity>0</DocSecurity>
  <Lines>164</Lines>
  <Paragraphs>79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PUAFER005 Operate as part of an emergency control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